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49B4E" w14:textId="77777777" w:rsidR="00CC4B95" w:rsidRPr="001B78E2" w:rsidRDefault="001B78E2" w:rsidP="001B78E2">
      <w:pPr>
        <w:pStyle w:val="a4"/>
        <w:ind w:left="3402" w:firstLine="0"/>
        <w:jc w:val="center"/>
      </w:pPr>
      <w:r w:rsidRPr="001B78E2">
        <w:rPr>
          <w:color w:val="000000" w:themeColor="text1"/>
        </w:rPr>
        <w:t>Объявление</w:t>
      </w:r>
      <w:r w:rsidR="005060E7" w:rsidRPr="001B78E2">
        <w:rPr>
          <w:color w:val="000000" w:themeColor="text1"/>
        </w:rPr>
        <w:t xml:space="preserve"> </w:t>
      </w:r>
      <w:r w:rsidRPr="001B78E2">
        <w:rPr>
          <w:color w:val="000000" w:themeColor="text1"/>
        </w:rPr>
        <w:t>об</w:t>
      </w:r>
      <w:r w:rsidR="005060E7" w:rsidRPr="001B78E2">
        <w:rPr>
          <w:color w:val="000000" w:themeColor="text1"/>
        </w:rPr>
        <w:t xml:space="preserve"> </w:t>
      </w:r>
      <w:r w:rsidRPr="001B78E2">
        <w:rPr>
          <w:color w:val="000000" w:themeColor="text1"/>
        </w:rPr>
        <w:t>выборе поставщика при осуществлении закупок ТРУ, приобретаемых в рамках принятия мер по сохранению и (или) восстановлению стабильности социальной обстановки на основании абзаца шестого пп.9) п. 1 статьи</w:t>
      </w:r>
      <w:r w:rsidR="00766435">
        <w:rPr>
          <w:color w:val="000000" w:themeColor="text1"/>
        </w:rPr>
        <w:t xml:space="preserve"> </w:t>
      </w:r>
      <w:r w:rsidRPr="001B78E2">
        <w:rPr>
          <w:color w:val="000000" w:themeColor="text1"/>
        </w:rPr>
        <w:t>59 Порядка осуществления закупок АО «</w:t>
      </w:r>
      <w:proofErr w:type="spellStart"/>
      <w:r w:rsidRPr="001B78E2">
        <w:rPr>
          <w:color w:val="000000" w:themeColor="text1"/>
        </w:rPr>
        <w:t>Самрук</w:t>
      </w:r>
      <w:proofErr w:type="spellEnd"/>
      <w:r w:rsidRPr="001B78E2">
        <w:rPr>
          <w:color w:val="000000" w:themeColor="text1"/>
        </w:rPr>
        <w:t>-Казына».</w:t>
      </w:r>
    </w:p>
    <w:p w14:paraId="7376FC3D" w14:textId="77777777" w:rsidR="00CC4B95" w:rsidRPr="00F07F2F" w:rsidRDefault="00CC4B95">
      <w:pPr>
        <w:pStyle w:val="a3"/>
        <w:spacing w:before="2"/>
        <w:rPr>
          <w:b/>
        </w:rPr>
      </w:pPr>
    </w:p>
    <w:p w14:paraId="36B7A892" w14:textId="77777777" w:rsidR="00CC4B95" w:rsidRPr="00F07F2F" w:rsidRDefault="00766435" w:rsidP="00766435">
      <w:pPr>
        <w:pStyle w:val="a5"/>
        <w:numPr>
          <w:ilvl w:val="0"/>
          <w:numId w:val="1"/>
        </w:numPr>
        <w:tabs>
          <w:tab w:val="left" w:pos="689"/>
        </w:tabs>
        <w:spacing w:before="1"/>
        <w:ind w:left="689" w:hanging="405"/>
        <w:jc w:val="left"/>
        <w:rPr>
          <w:spacing w:val="-2"/>
          <w:sz w:val="20"/>
          <w:szCs w:val="20"/>
        </w:rPr>
      </w:pPr>
      <w:r w:rsidRPr="00F07F2F">
        <w:rPr>
          <w:spacing w:val="-2"/>
          <w:sz w:val="20"/>
          <w:szCs w:val="20"/>
        </w:rPr>
        <w:t xml:space="preserve">Организатор: </w:t>
      </w:r>
      <w:r w:rsidR="001B78E2" w:rsidRPr="00F07F2F">
        <w:rPr>
          <w:spacing w:val="-2"/>
          <w:sz w:val="20"/>
          <w:szCs w:val="20"/>
        </w:rPr>
        <w:t>АО «</w:t>
      </w:r>
      <w:proofErr w:type="spellStart"/>
      <w:r w:rsidR="005060E7" w:rsidRPr="00F07F2F">
        <w:rPr>
          <w:spacing w:val="-2"/>
          <w:sz w:val="20"/>
          <w:szCs w:val="20"/>
        </w:rPr>
        <w:t>Каражанбасмунай</w:t>
      </w:r>
      <w:proofErr w:type="spellEnd"/>
      <w:r w:rsidR="001B78E2" w:rsidRPr="00F07F2F">
        <w:rPr>
          <w:spacing w:val="-2"/>
          <w:sz w:val="20"/>
          <w:szCs w:val="20"/>
        </w:rPr>
        <w:t>»</w:t>
      </w:r>
      <w:r w:rsidRPr="00F07F2F">
        <w:rPr>
          <w:spacing w:val="-2"/>
          <w:sz w:val="20"/>
          <w:szCs w:val="20"/>
        </w:rPr>
        <w:t xml:space="preserve"> </w:t>
      </w:r>
    </w:p>
    <w:p w14:paraId="3ECABEFB" w14:textId="77777777" w:rsidR="00766435" w:rsidRPr="00F07F2F" w:rsidRDefault="00766435" w:rsidP="00766435">
      <w:pPr>
        <w:pStyle w:val="a5"/>
        <w:tabs>
          <w:tab w:val="left" w:pos="689"/>
        </w:tabs>
        <w:spacing w:before="1"/>
        <w:ind w:left="689" w:firstLine="0"/>
        <w:rPr>
          <w:spacing w:val="-2"/>
          <w:sz w:val="20"/>
          <w:szCs w:val="20"/>
        </w:rPr>
      </w:pPr>
      <w:r w:rsidRPr="00F07F2F">
        <w:rPr>
          <w:spacing w:val="-2"/>
          <w:sz w:val="20"/>
          <w:szCs w:val="20"/>
        </w:rPr>
        <w:t>Адрес: Казахстан, Мангистауская область, город Актау, микрорайон 9А д. дом 4, кабинет 512</w:t>
      </w:r>
    </w:p>
    <w:p w14:paraId="030D8A24" w14:textId="5E90D49B" w:rsidR="00766435" w:rsidRPr="00D7269E" w:rsidRDefault="00766435" w:rsidP="00766435">
      <w:pPr>
        <w:pStyle w:val="a5"/>
        <w:tabs>
          <w:tab w:val="left" w:pos="689"/>
        </w:tabs>
        <w:spacing w:before="1"/>
        <w:ind w:left="689" w:firstLine="0"/>
        <w:rPr>
          <w:spacing w:val="-2"/>
          <w:sz w:val="20"/>
          <w:szCs w:val="20"/>
        </w:rPr>
      </w:pPr>
      <w:r w:rsidRPr="00D7269E">
        <w:rPr>
          <w:spacing w:val="-2"/>
          <w:sz w:val="20"/>
          <w:szCs w:val="20"/>
        </w:rPr>
        <w:t xml:space="preserve">Телефон </w:t>
      </w:r>
      <w:r w:rsidRPr="00D7269E">
        <w:rPr>
          <w:b/>
          <w:spacing w:val="-2"/>
          <w:sz w:val="20"/>
          <w:szCs w:val="20"/>
        </w:rPr>
        <w:t>+7 (77</w:t>
      </w:r>
      <w:r w:rsidR="006F3FF1">
        <w:rPr>
          <w:b/>
          <w:spacing w:val="-2"/>
          <w:sz w:val="20"/>
          <w:szCs w:val="20"/>
        </w:rPr>
        <w:t>5</w:t>
      </w:r>
      <w:r w:rsidRPr="00D7269E">
        <w:rPr>
          <w:b/>
          <w:spacing w:val="-2"/>
          <w:sz w:val="20"/>
          <w:szCs w:val="20"/>
        </w:rPr>
        <w:t xml:space="preserve">) </w:t>
      </w:r>
      <w:r w:rsidR="006F3FF1" w:rsidRPr="006F3FF1">
        <w:rPr>
          <w:b/>
          <w:spacing w:val="-2"/>
          <w:sz w:val="20"/>
          <w:szCs w:val="20"/>
        </w:rPr>
        <w:t>998</w:t>
      </w:r>
      <w:r w:rsidR="00D7269E" w:rsidRPr="006F3FF1">
        <w:rPr>
          <w:b/>
          <w:spacing w:val="-2"/>
          <w:sz w:val="20"/>
          <w:szCs w:val="20"/>
        </w:rPr>
        <w:t>-0</w:t>
      </w:r>
      <w:r w:rsidR="006F3FF1" w:rsidRPr="006F3FF1">
        <w:rPr>
          <w:b/>
          <w:spacing w:val="-2"/>
          <w:sz w:val="20"/>
          <w:szCs w:val="20"/>
        </w:rPr>
        <w:t>8</w:t>
      </w:r>
      <w:r w:rsidR="00D7269E" w:rsidRPr="006F3FF1">
        <w:rPr>
          <w:b/>
          <w:spacing w:val="-2"/>
          <w:sz w:val="20"/>
          <w:szCs w:val="20"/>
        </w:rPr>
        <w:t>00</w:t>
      </w:r>
    </w:p>
    <w:p w14:paraId="39792A38" w14:textId="0F16F8E3" w:rsidR="00CC4B95" w:rsidRPr="00F07F2F" w:rsidRDefault="00766435" w:rsidP="00766435">
      <w:pPr>
        <w:pStyle w:val="a5"/>
        <w:tabs>
          <w:tab w:val="left" w:pos="689"/>
        </w:tabs>
        <w:spacing w:before="1"/>
        <w:ind w:left="689" w:firstLine="0"/>
        <w:rPr>
          <w:spacing w:val="-2"/>
          <w:sz w:val="20"/>
          <w:szCs w:val="20"/>
        </w:rPr>
        <w:sectPr w:rsidR="00CC4B95" w:rsidRPr="00F07F2F" w:rsidSect="005D3895">
          <w:type w:val="continuous"/>
          <w:pgSz w:w="16840" w:h="11910" w:orient="landscape"/>
          <w:pgMar w:top="426" w:right="566" w:bottom="280" w:left="566" w:header="720" w:footer="720" w:gutter="0"/>
          <w:cols w:space="720"/>
        </w:sectPr>
      </w:pPr>
      <w:r w:rsidRPr="00D7269E">
        <w:rPr>
          <w:spacing w:val="-2"/>
          <w:sz w:val="20"/>
          <w:szCs w:val="20"/>
        </w:rPr>
        <w:t xml:space="preserve">Электронная почта </w:t>
      </w:r>
      <w:r w:rsidR="006F3FF1" w:rsidRPr="006F3FF1">
        <w:rPr>
          <w:rFonts w:ascii="TimesNewRomanPS-BoldMT" w:hAnsi="TimesNewRomanPS-BoldMT"/>
          <w:b/>
          <w:bCs/>
          <w:color w:val="000000"/>
          <w:sz w:val="18"/>
          <w:szCs w:val="18"/>
        </w:rPr>
        <w:t>K_MURINBAYEVA</w:t>
      </w:r>
      <w:r w:rsidR="001C720F" w:rsidRPr="00D7269E">
        <w:rPr>
          <w:rFonts w:ascii="TimesNewRomanPS-BoldMT" w:hAnsi="TimesNewRomanPS-BoldMT"/>
          <w:b/>
          <w:bCs/>
          <w:color w:val="000000"/>
          <w:sz w:val="18"/>
          <w:szCs w:val="18"/>
        </w:rPr>
        <w:t>@KBM.KZ</w:t>
      </w:r>
    </w:p>
    <w:p w14:paraId="78558773" w14:textId="77777777" w:rsidR="00CC4B95" w:rsidRPr="00F07F2F" w:rsidRDefault="00766435" w:rsidP="00766435">
      <w:pPr>
        <w:pStyle w:val="a5"/>
        <w:numPr>
          <w:ilvl w:val="0"/>
          <w:numId w:val="1"/>
        </w:numPr>
        <w:tabs>
          <w:tab w:val="left" w:pos="343"/>
        </w:tabs>
        <w:spacing w:before="1"/>
        <w:ind w:left="343" w:right="-1962" w:hanging="59"/>
        <w:jc w:val="left"/>
        <w:rPr>
          <w:sz w:val="20"/>
          <w:szCs w:val="20"/>
        </w:rPr>
      </w:pPr>
      <w:r w:rsidRPr="00F07F2F">
        <w:rPr>
          <w:sz w:val="20"/>
          <w:szCs w:val="20"/>
        </w:rPr>
        <w:t>Наименование закупаемых ТРУ</w:t>
      </w:r>
    </w:p>
    <w:p w14:paraId="043A4735" w14:textId="77777777" w:rsidR="00CC4B95" w:rsidRPr="00F07F2F" w:rsidRDefault="005060E7" w:rsidP="00766435">
      <w:pPr>
        <w:pStyle w:val="TableParagraph"/>
        <w:spacing w:line="186" w:lineRule="exact"/>
        <w:ind w:left="108"/>
        <w:rPr>
          <w:sz w:val="20"/>
          <w:szCs w:val="20"/>
        </w:rPr>
        <w:sectPr w:rsidR="00CC4B95" w:rsidRPr="00F07F2F" w:rsidSect="00766435">
          <w:type w:val="continuous"/>
          <w:pgSz w:w="16840" w:h="11910" w:orient="landscape"/>
          <w:pgMar w:top="820" w:right="3657" w:bottom="280" w:left="566" w:header="720" w:footer="720" w:gutter="0"/>
          <w:cols w:num="2" w:space="109" w:equalWidth="0">
            <w:col w:w="1724" w:space="4537"/>
            <w:col w:w="9447"/>
          </w:cols>
        </w:sectPr>
      </w:pPr>
      <w:r w:rsidRPr="00F07F2F">
        <w:rPr>
          <w:sz w:val="20"/>
          <w:szCs w:val="20"/>
        </w:rPr>
        <w:br w:type="column"/>
      </w:r>
    </w:p>
    <w:p w14:paraId="4ACA7C9E" w14:textId="77777777" w:rsidR="00CC4B95" w:rsidRPr="00F07F2F" w:rsidRDefault="00CC4B95">
      <w:pPr>
        <w:pStyle w:val="a3"/>
        <w:spacing w:before="47"/>
      </w:pPr>
    </w:p>
    <w:tbl>
      <w:tblPr>
        <w:tblStyle w:val="TableNormal"/>
        <w:tblW w:w="14131" w:type="dxa"/>
        <w:tblInd w:w="759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399"/>
        <w:gridCol w:w="992"/>
        <w:gridCol w:w="851"/>
        <w:gridCol w:w="1417"/>
        <w:gridCol w:w="1985"/>
        <w:gridCol w:w="2693"/>
        <w:gridCol w:w="3119"/>
      </w:tblGrid>
      <w:tr w:rsidR="001C720F" w:rsidRPr="00F07F2F" w14:paraId="3413FB43" w14:textId="77777777" w:rsidTr="001C720F">
        <w:trPr>
          <w:trHeight w:val="787"/>
        </w:trPr>
        <w:tc>
          <w:tcPr>
            <w:tcW w:w="675" w:type="dxa"/>
            <w:vMerge w:val="restart"/>
          </w:tcPr>
          <w:p w14:paraId="551B945C" w14:textId="77777777" w:rsidR="001C720F" w:rsidRPr="001C720F" w:rsidRDefault="001C720F">
            <w:pPr>
              <w:pStyle w:val="TableParagraph"/>
              <w:ind w:left="108" w:right="177"/>
              <w:rPr>
                <w:b/>
                <w:sz w:val="20"/>
                <w:szCs w:val="20"/>
              </w:rPr>
            </w:pPr>
            <w:r w:rsidRPr="001C720F">
              <w:rPr>
                <w:b/>
                <w:spacing w:val="-10"/>
                <w:sz w:val="20"/>
                <w:szCs w:val="20"/>
              </w:rPr>
              <w:t>№</w:t>
            </w:r>
          </w:p>
        </w:tc>
        <w:tc>
          <w:tcPr>
            <w:tcW w:w="2399" w:type="dxa"/>
            <w:vMerge w:val="restart"/>
          </w:tcPr>
          <w:p w14:paraId="1E177AE5" w14:textId="77777777" w:rsidR="001C720F" w:rsidRPr="001C720F" w:rsidRDefault="001C720F">
            <w:pPr>
              <w:pStyle w:val="TableParagraph"/>
              <w:ind w:left="183"/>
              <w:rPr>
                <w:b/>
                <w:sz w:val="20"/>
                <w:szCs w:val="20"/>
              </w:rPr>
            </w:pPr>
            <w:r w:rsidRPr="001C720F">
              <w:rPr>
                <w:b/>
                <w:spacing w:val="-2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</w:tcPr>
          <w:p w14:paraId="05D26522" w14:textId="77777777" w:rsidR="001C720F" w:rsidRPr="001C720F" w:rsidRDefault="001C720F">
            <w:pPr>
              <w:pStyle w:val="TableParagraph"/>
              <w:ind w:left="264" w:right="251" w:firstLine="63"/>
              <w:rPr>
                <w:b/>
                <w:sz w:val="20"/>
                <w:szCs w:val="20"/>
              </w:rPr>
            </w:pPr>
            <w:r w:rsidRPr="001C720F">
              <w:rPr>
                <w:b/>
                <w:spacing w:val="-4"/>
                <w:sz w:val="20"/>
                <w:szCs w:val="20"/>
              </w:rPr>
              <w:t>Ед. Изм.</w:t>
            </w:r>
          </w:p>
        </w:tc>
        <w:tc>
          <w:tcPr>
            <w:tcW w:w="4253" w:type="dxa"/>
            <w:gridSpan w:val="3"/>
          </w:tcPr>
          <w:p w14:paraId="737E76D5" w14:textId="77777777" w:rsidR="001C720F" w:rsidRPr="001C720F" w:rsidRDefault="001C720F" w:rsidP="001C720F">
            <w:pPr>
              <w:rPr>
                <w:b/>
                <w:sz w:val="20"/>
                <w:szCs w:val="20"/>
              </w:rPr>
            </w:pPr>
            <w:r w:rsidRPr="001C720F">
              <w:rPr>
                <w:rStyle w:val="fontstyle01"/>
                <w:rFonts w:ascii="Times New Roman" w:hAnsi="Times New Roman"/>
                <w:b/>
                <w:sz w:val="20"/>
                <w:szCs w:val="20"/>
              </w:rPr>
              <w:t>Распределение по годам</w:t>
            </w:r>
          </w:p>
        </w:tc>
        <w:tc>
          <w:tcPr>
            <w:tcW w:w="2693" w:type="dxa"/>
            <w:vMerge w:val="restart"/>
          </w:tcPr>
          <w:p w14:paraId="55A1AD08" w14:textId="77777777" w:rsidR="001C720F" w:rsidRPr="001C720F" w:rsidRDefault="001C720F">
            <w:pPr>
              <w:pStyle w:val="TableParagraph"/>
              <w:spacing w:line="230" w:lineRule="atLeast"/>
              <w:ind w:left="107" w:right="74"/>
              <w:rPr>
                <w:b/>
                <w:sz w:val="20"/>
                <w:szCs w:val="20"/>
              </w:rPr>
            </w:pPr>
            <w:r w:rsidRPr="001C720F">
              <w:rPr>
                <w:b/>
                <w:spacing w:val="-2"/>
                <w:sz w:val="20"/>
                <w:szCs w:val="20"/>
              </w:rPr>
              <w:t>Место поставки товара, выполнения работ, оказания услуг</w:t>
            </w:r>
          </w:p>
        </w:tc>
        <w:tc>
          <w:tcPr>
            <w:tcW w:w="3119" w:type="dxa"/>
            <w:vMerge w:val="restart"/>
          </w:tcPr>
          <w:p w14:paraId="3677FC3A" w14:textId="77777777" w:rsidR="001C720F" w:rsidRPr="001C720F" w:rsidRDefault="001C720F" w:rsidP="00935B9D">
            <w:pPr>
              <w:pStyle w:val="TableParagraph"/>
              <w:spacing w:line="230" w:lineRule="atLeast"/>
              <w:ind w:left="107" w:right="74"/>
              <w:rPr>
                <w:b/>
                <w:sz w:val="20"/>
                <w:szCs w:val="20"/>
              </w:rPr>
            </w:pPr>
            <w:r w:rsidRPr="001C720F">
              <w:rPr>
                <w:b/>
                <w:spacing w:val="-2"/>
                <w:sz w:val="20"/>
                <w:szCs w:val="20"/>
              </w:rPr>
              <w:t>Сроки поставки товара, выполнения работ, оказания услуг</w:t>
            </w:r>
          </w:p>
        </w:tc>
      </w:tr>
      <w:tr w:rsidR="001C720F" w:rsidRPr="00F07F2F" w14:paraId="2B4A67F5" w14:textId="77777777" w:rsidTr="001C720F">
        <w:trPr>
          <w:trHeight w:val="787"/>
        </w:trPr>
        <w:tc>
          <w:tcPr>
            <w:tcW w:w="675" w:type="dxa"/>
            <w:vMerge/>
          </w:tcPr>
          <w:p w14:paraId="7D9B0A09" w14:textId="77777777" w:rsidR="001C720F" w:rsidRPr="00F07F2F" w:rsidRDefault="001C720F">
            <w:pPr>
              <w:pStyle w:val="TableParagraph"/>
              <w:ind w:left="108" w:right="177"/>
              <w:rPr>
                <w:b/>
                <w:spacing w:val="-10"/>
                <w:sz w:val="20"/>
                <w:szCs w:val="20"/>
              </w:rPr>
            </w:pPr>
          </w:p>
        </w:tc>
        <w:tc>
          <w:tcPr>
            <w:tcW w:w="2399" w:type="dxa"/>
            <w:vMerge/>
          </w:tcPr>
          <w:p w14:paraId="3FDCED29" w14:textId="77777777" w:rsidR="001C720F" w:rsidRPr="00F07F2F" w:rsidRDefault="001C720F">
            <w:pPr>
              <w:pStyle w:val="TableParagraph"/>
              <w:ind w:left="183"/>
              <w:rPr>
                <w:b/>
                <w:spacing w:val="-2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9831B55" w14:textId="77777777" w:rsidR="001C720F" w:rsidRPr="00F07F2F" w:rsidRDefault="001C720F">
            <w:pPr>
              <w:pStyle w:val="TableParagraph"/>
              <w:ind w:left="264" w:right="251" w:firstLine="63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851" w:type="dxa"/>
          </w:tcPr>
          <w:p w14:paraId="55BC52C3" w14:textId="77777777" w:rsidR="001C720F" w:rsidRPr="001C720F" w:rsidRDefault="001C720F">
            <w:pPr>
              <w:pStyle w:val="TableParagraph"/>
              <w:ind w:left="51" w:firstLine="60"/>
              <w:rPr>
                <w:b/>
                <w:spacing w:val="-2"/>
                <w:sz w:val="20"/>
                <w:szCs w:val="20"/>
              </w:rPr>
            </w:pPr>
            <w:r w:rsidRPr="001C720F">
              <w:rPr>
                <w:b/>
                <w:spacing w:val="-2"/>
                <w:sz w:val="20"/>
                <w:szCs w:val="20"/>
              </w:rPr>
              <w:t>Год</w:t>
            </w:r>
          </w:p>
        </w:tc>
        <w:tc>
          <w:tcPr>
            <w:tcW w:w="1417" w:type="dxa"/>
          </w:tcPr>
          <w:p w14:paraId="34BFD63C" w14:textId="77777777" w:rsidR="001C720F" w:rsidRPr="001C720F" w:rsidRDefault="001C720F" w:rsidP="001C720F">
            <w:pPr>
              <w:rPr>
                <w:b/>
              </w:rPr>
            </w:pPr>
            <w:r w:rsidRPr="001C720F">
              <w:rPr>
                <w:rStyle w:val="fontstyle01"/>
                <w:b/>
              </w:rPr>
              <w:t xml:space="preserve">Количество, объем </w:t>
            </w:r>
          </w:p>
        </w:tc>
        <w:tc>
          <w:tcPr>
            <w:tcW w:w="1985" w:type="dxa"/>
          </w:tcPr>
          <w:p w14:paraId="3E8A9C01" w14:textId="77777777" w:rsidR="001C720F" w:rsidRPr="001C720F" w:rsidRDefault="001C720F" w:rsidP="001C720F">
            <w:pPr>
              <w:rPr>
                <w:b/>
              </w:rPr>
            </w:pPr>
            <w:r w:rsidRPr="001C720F">
              <w:rPr>
                <w:rStyle w:val="fontstyle01"/>
                <w:b/>
              </w:rPr>
              <w:t>Сумма, без учета НДС</w:t>
            </w:r>
          </w:p>
          <w:p w14:paraId="668FB4E4" w14:textId="77777777" w:rsidR="001C720F" w:rsidRPr="001C720F" w:rsidRDefault="001C720F" w:rsidP="001C720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</w:p>
          <w:p w14:paraId="321B8990" w14:textId="77777777" w:rsidR="001C720F" w:rsidRPr="001C720F" w:rsidRDefault="001C720F" w:rsidP="001C720F">
            <w:pPr>
              <w:ind w:firstLine="720"/>
              <w:rPr>
                <w:b/>
              </w:rPr>
            </w:pPr>
          </w:p>
        </w:tc>
        <w:tc>
          <w:tcPr>
            <w:tcW w:w="2693" w:type="dxa"/>
            <w:vMerge/>
          </w:tcPr>
          <w:p w14:paraId="65792104" w14:textId="77777777" w:rsidR="001C720F" w:rsidRPr="00F07F2F" w:rsidRDefault="001C720F">
            <w:pPr>
              <w:pStyle w:val="TableParagraph"/>
              <w:spacing w:line="230" w:lineRule="atLeast"/>
              <w:ind w:left="107" w:right="74"/>
              <w:rPr>
                <w:b/>
                <w:spacing w:val="-2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14:paraId="72F49022" w14:textId="77777777" w:rsidR="001C720F" w:rsidRPr="00F07F2F" w:rsidRDefault="001C720F" w:rsidP="00935B9D">
            <w:pPr>
              <w:pStyle w:val="TableParagraph"/>
              <w:spacing w:line="230" w:lineRule="atLeast"/>
              <w:ind w:left="107" w:right="74"/>
              <w:rPr>
                <w:b/>
                <w:spacing w:val="-2"/>
                <w:sz w:val="20"/>
                <w:szCs w:val="20"/>
              </w:rPr>
            </w:pPr>
          </w:p>
        </w:tc>
      </w:tr>
      <w:tr w:rsidR="001C720F" w:rsidRPr="00F07F2F" w14:paraId="3F083FFC" w14:textId="77777777" w:rsidTr="00BB648C">
        <w:trPr>
          <w:trHeight w:val="242"/>
        </w:trPr>
        <w:tc>
          <w:tcPr>
            <w:tcW w:w="675" w:type="dxa"/>
            <w:vMerge w:val="restart"/>
          </w:tcPr>
          <w:p w14:paraId="6082E25E" w14:textId="77777777" w:rsidR="001C720F" w:rsidRPr="00F07F2F" w:rsidRDefault="001C720F">
            <w:pPr>
              <w:pStyle w:val="TableParagraph"/>
              <w:spacing w:line="186" w:lineRule="exact"/>
              <w:ind w:left="108"/>
              <w:rPr>
                <w:sz w:val="20"/>
                <w:szCs w:val="20"/>
              </w:rPr>
            </w:pPr>
            <w:r w:rsidRPr="00F07F2F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2399" w:type="dxa"/>
            <w:vMerge w:val="restart"/>
          </w:tcPr>
          <w:p w14:paraId="18330B1D" w14:textId="090D0C03" w:rsidR="001C720F" w:rsidRPr="006F3FF1" w:rsidRDefault="001C720F" w:rsidP="001C720F">
            <w:pPr>
              <w:rPr>
                <w:rStyle w:val="fontstyle01"/>
              </w:rPr>
            </w:pPr>
            <w:r>
              <w:rPr>
                <w:rStyle w:val="fontstyle01"/>
              </w:rPr>
              <w:t xml:space="preserve">Услуги </w:t>
            </w:r>
            <w:r w:rsidR="006F3FF1" w:rsidRPr="006F3FF1">
              <w:rPr>
                <w:rStyle w:val="fontstyle01"/>
              </w:rPr>
              <w:t>прачечные</w:t>
            </w:r>
          </w:p>
          <w:p w14:paraId="793E1EA4" w14:textId="77777777" w:rsidR="001C720F" w:rsidRPr="00F07F2F" w:rsidRDefault="001C720F" w:rsidP="00412B4B">
            <w:pPr>
              <w:pStyle w:val="TableParagraph"/>
              <w:spacing w:line="177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14:paraId="5F2A61E0" w14:textId="77777777" w:rsidR="001C720F" w:rsidRPr="00F07F2F" w:rsidRDefault="001C720F" w:rsidP="00C123A4">
            <w:pPr>
              <w:pStyle w:val="TableParagraph"/>
              <w:spacing w:line="186" w:lineRule="exact"/>
              <w:ind w:right="216"/>
              <w:jc w:val="right"/>
              <w:rPr>
                <w:sz w:val="20"/>
                <w:szCs w:val="20"/>
              </w:rPr>
            </w:pPr>
            <w:r w:rsidRPr="00F07F2F">
              <w:rPr>
                <w:spacing w:val="-2"/>
                <w:sz w:val="20"/>
                <w:szCs w:val="20"/>
              </w:rPr>
              <w:t>Штука</w:t>
            </w:r>
          </w:p>
        </w:tc>
        <w:tc>
          <w:tcPr>
            <w:tcW w:w="851" w:type="dxa"/>
          </w:tcPr>
          <w:p w14:paraId="77F9C894" w14:textId="77777777" w:rsidR="001C720F" w:rsidRPr="00F07F2F" w:rsidRDefault="001C720F">
            <w:pPr>
              <w:pStyle w:val="TableParagraph"/>
              <w:spacing w:line="186" w:lineRule="exact"/>
              <w:ind w:left="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</w:tcPr>
          <w:p w14:paraId="4490DFC9" w14:textId="77777777" w:rsidR="001C720F" w:rsidRPr="00F07F2F" w:rsidRDefault="001C720F">
            <w:pPr>
              <w:pStyle w:val="TableParagraph"/>
              <w:spacing w:line="186" w:lineRule="exact"/>
              <w:ind w:left="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4E5EBFA" w14:textId="3097C039" w:rsidR="001C720F" w:rsidRPr="006F3FF1" w:rsidRDefault="006F3FF1" w:rsidP="001C720F">
            <w:pPr>
              <w:rPr>
                <w:sz w:val="20"/>
                <w:szCs w:val="20"/>
              </w:rPr>
            </w:pPr>
            <w:r w:rsidRPr="006F3FF1">
              <w:rPr>
                <w:sz w:val="20"/>
                <w:szCs w:val="20"/>
              </w:rPr>
              <w:t xml:space="preserve">308 813 392,50 </w:t>
            </w:r>
          </w:p>
          <w:p w14:paraId="039A9404" w14:textId="77777777" w:rsidR="001C720F" w:rsidRPr="00F07F2F" w:rsidRDefault="001C720F">
            <w:pPr>
              <w:pStyle w:val="TableParagraph"/>
              <w:spacing w:line="186" w:lineRule="exact"/>
              <w:ind w:left="107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14:paraId="5C2D07C9" w14:textId="77777777" w:rsidR="001C720F" w:rsidRPr="00F07F2F" w:rsidRDefault="001C720F" w:rsidP="00C123A4">
            <w:pPr>
              <w:pStyle w:val="TableParagraph"/>
              <w:spacing w:line="186" w:lineRule="exact"/>
              <w:ind w:left="10" w:right="77"/>
              <w:rPr>
                <w:sz w:val="20"/>
                <w:szCs w:val="20"/>
              </w:rPr>
            </w:pPr>
            <w:r w:rsidRPr="00F07F2F">
              <w:rPr>
                <w:spacing w:val="-2"/>
                <w:sz w:val="20"/>
                <w:szCs w:val="20"/>
              </w:rPr>
              <w:t>Мангистауска</w:t>
            </w:r>
            <w:r w:rsidRPr="00F07F2F">
              <w:rPr>
                <w:spacing w:val="-10"/>
                <w:sz w:val="20"/>
                <w:szCs w:val="20"/>
              </w:rPr>
              <w:t xml:space="preserve">я </w:t>
            </w:r>
            <w:r w:rsidRPr="00F07F2F">
              <w:rPr>
                <w:spacing w:val="-2"/>
                <w:sz w:val="20"/>
                <w:szCs w:val="20"/>
              </w:rPr>
              <w:t>область,</w:t>
            </w:r>
          </w:p>
          <w:p w14:paraId="46909BE9" w14:textId="77777777" w:rsidR="001C720F" w:rsidRPr="00F07F2F" w:rsidRDefault="001C720F" w:rsidP="00C123A4">
            <w:pPr>
              <w:pStyle w:val="TableParagraph"/>
              <w:spacing w:line="177" w:lineRule="exact"/>
              <w:ind w:right="37"/>
              <w:rPr>
                <w:sz w:val="20"/>
                <w:szCs w:val="20"/>
              </w:rPr>
            </w:pPr>
            <w:r w:rsidRPr="00F07F2F">
              <w:rPr>
                <w:spacing w:val="-2"/>
                <w:sz w:val="20"/>
                <w:szCs w:val="20"/>
              </w:rPr>
              <w:t>Месторождени</w:t>
            </w:r>
            <w:r w:rsidRPr="00F07F2F">
              <w:rPr>
                <w:sz w:val="20"/>
                <w:szCs w:val="20"/>
              </w:rPr>
              <w:t xml:space="preserve">е </w:t>
            </w:r>
            <w:proofErr w:type="spellStart"/>
            <w:r w:rsidRPr="00F07F2F">
              <w:rPr>
                <w:spacing w:val="-2"/>
                <w:sz w:val="20"/>
                <w:szCs w:val="20"/>
              </w:rPr>
              <w:t>Каражанбас</w:t>
            </w:r>
            <w:proofErr w:type="spellEnd"/>
          </w:p>
        </w:tc>
        <w:tc>
          <w:tcPr>
            <w:tcW w:w="3119" w:type="dxa"/>
            <w:vMerge w:val="restart"/>
          </w:tcPr>
          <w:p w14:paraId="34BA1715" w14:textId="77777777" w:rsidR="001C720F" w:rsidRPr="001C720F" w:rsidRDefault="001C720F" w:rsidP="001C720F">
            <w:pPr>
              <w:pStyle w:val="TableParagraph"/>
              <w:spacing w:line="177" w:lineRule="exact"/>
              <w:ind w:right="37"/>
              <w:rPr>
                <w:spacing w:val="-2"/>
                <w:sz w:val="20"/>
                <w:szCs w:val="20"/>
              </w:rPr>
            </w:pPr>
            <w:r w:rsidRPr="001C720F">
              <w:rPr>
                <w:spacing w:val="-2"/>
                <w:sz w:val="20"/>
                <w:szCs w:val="20"/>
              </w:rPr>
              <w:t>с 01.2026 по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1C720F">
              <w:rPr>
                <w:spacing w:val="-2"/>
                <w:sz w:val="20"/>
                <w:szCs w:val="20"/>
              </w:rPr>
              <w:t>12.2028</w:t>
            </w:r>
            <w:r w:rsidRPr="001C720F">
              <w:rPr>
                <w:spacing w:val="-2"/>
                <w:sz w:val="20"/>
                <w:szCs w:val="20"/>
              </w:rPr>
              <w:br/>
              <w:t>(включительно)</w:t>
            </w:r>
          </w:p>
          <w:p w14:paraId="62144782" w14:textId="77777777" w:rsidR="001C720F" w:rsidRPr="00F07F2F" w:rsidRDefault="001C720F" w:rsidP="00E4690D">
            <w:pPr>
              <w:pStyle w:val="TableParagraph"/>
              <w:spacing w:line="177" w:lineRule="exact"/>
              <w:ind w:left="107"/>
              <w:rPr>
                <w:sz w:val="20"/>
                <w:szCs w:val="20"/>
              </w:rPr>
            </w:pPr>
          </w:p>
        </w:tc>
      </w:tr>
      <w:tr w:rsidR="001C720F" w:rsidRPr="00F07F2F" w14:paraId="367F8535" w14:textId="77777777" w:rsidTr="001C720F">
        <w:trPr>
          <w:trHeight w:val="406"/>
        </w:trPr>
        <w:tc>
          <w:tcPr>
            <w:tcW w:w="675" w:type="dxa"/>
            <w:vMerge/>
          </w:tcPr>
          <w:p w14:paraId="3A8B86C1" w14:textId="77777777" w:rsidR="001C720F" w:rsidRPr="00F07F2F" w:rsidRDefault="001C720F">
            <w:pPr>
              <w:pStyle w:val="TableParagraph"/>
              <w:spacing w:line="186" w:lineRule="exact"/>
              <w:ind w:left="108"/>
              <w:rPr>
                <w:spacing w:val="-10"/>
                <w:sz w:val="20"/>
                <w:szCs w:val="20"/>
              </w:rPr>
            </w:pPr>
          </w:p>
        </w:tc>
        <w:tc>
          <w:tcPr>
            <w:tcW w:w="2399" w:type="dxa"/>
            <w:vMerge/>
          </w:tcPr>
          <w:p w14:paraId="15BD7CA6" w14:textId="77777777" w:rsidR="001C720F" w:rsidRDefault="001C720F" w:rsidP="001C720F">
            <w:pPr>
              <w:rPr>
                <w:rStyle w:val="fontstyle01"/>
              </w:rPr>
            </w:pPr>
          </w:p>
        </w:tc>
        <w:tc>
          <w:tcPr>
            <w:tcW w:w="992" w:type="dxa"/>
            <w:vMerge/>
          </w:tcPr>
          <w:p w14:paraId="21639A50" w14:textId="77777777" w:rsidR="001C720F" w:rsidRPr="00F07F2F" w:rsidRDefault="001C720F" w:rsidP="00C123A4">
            <w:pPr>
              <w:pStyle w:val="TableParagraph"/>
              <w:spacing w:line="186" w:lineRule="exact"/>
              <w:ind w:right="216"/>
              <w:jc w:val="right"/>
              <w:rPr>
                <w:spacing w:val="-2"/>
                <w:sz w:val="20"/>
                <w:szCs w:val="20"/>
              </w:rPr>
            </w:pPr>
          </w:p>
        </w:tc>
        <w:tc>
          <w:tcPr>
            <w:tcW w:w="851" w:type="dxa"/>
          </w:tcPr>
          <w:p w14:paraId="0523B6C6" w14:textId="77777777" w:rsidR="001C720F" w:rsidRPr="00F07F2F" w:rsidRDefault="001C720F">
            <w:pPr>
              <w:pStyle w:val="TableParagraph"/>
              <w:spacing w:line="186" w:lineRule="exact"/>
              <w:ind w:left="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417" w:type="dxa"/>
          </w:tcPr>
          <w:p w14:paraId="462776E3" w14:textId="77777777" w:rsidR="001C720F" w:rsidRPr="00F07F2F" w:rsidRDefault="001C720F">
            <w:pPr>
              <w:pStyle w:val="TableParagraph"/>
              <w:spacing w:line="186" w:lineRule="exact"/>
              <w:ind w:left="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7308BBB4" w14:textId="4D5492BE" w:rsidR="001C720F" w:rsidRPr="006F3FF1" w:rsidRDefault="006F3FF1" w:rsidP="001C720F">
            <w:pPr>
              <w:rPr>
                <w:sz w:val="20"/>
                <w:szCs w:val="20"/>
              </w:rPr>
            </w:pPr>
            <w:r w:rsidRPr="006F3FF1">
              <w:rPr>
                <w:sz w:val="20"/>
                <w:szCs w:val="20"/>
              </w:rPr>
              <w:t xml:space="preserve">324 254 062,12 </w:t>
            </w:r>
          </w:p>
          <w:p w14:paraId="3115CF0B" w14:textId="77777777" w:rsidR="001C720F" w:rsidRPr="00F07F2F" w:rsidRDefault="001C720F">
            <w:pPr>
              <w:pStyle w:val="TableParagraph"/>
              <w:spacing w:line="186" w:lineRule="exact"/>
              <w:ind w:left="107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2CB4AD24" w14:textId="77777777" w:rsidR="001C720F" w:rsidRPr="00F07F2F" w:rsidRDefault="001C720F" w:rsidP="00C123A4">
            <w:pPr>
              <w:pStyle w:val="TableParagraph"/>
              <w:spacing w:line="186" w:lineRule="exact"/>
              <w:ind w:left="10" w:right="77"/>
              <w:rPr>
                <w:spacing w:val="-2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14:paraId="2A63173F" w14:textId="77777777" w:rsidR="001C720F" w:rsidRPr="001C720F" w:rsidRDefault="001C720F" w:rsidP="001C720F">
            <w:pPr>
              <w:pStyle w:val="TableParagraph"/>
              <w:spacing w:line="177" w:lineRule="exact"/>
              <w:ind w:right="37"/>
              <w:rPr>
                <w:spacing w:val="-2"/>
                <w:sz w:val="20"/>
                <w:szCs w:val="20"/>
              </w:rPr>
            </w:pPr>
          </w:p>
        </w:tc>
      </w:tr>
      <w:tr w:rsidR="001C720F" w:rsidRPr="00F07F2F" w14:paraId="48B0ED76" w14:textId="77777777" w:rsidTr="001C720F">
        <w:trPr>
          <w:trHeight w:val="270"/>
        </w:trPr>
        <w:tc>
          <w:tcPr>
            <w:tcW w:w="675" w:type="dxa"/>
            <w:vMerge/>
          </w:tcPr>
          <w:p w14:paraId="55261A5E" w14:textId="77777777" w:rsidR="001C720F" w:rsidRPr="00F07F2F" w:rsidRDefault="001C720F">
            <w:pPr>
              <w:pStyle w:val="TableParagraph"/>
              <w:spacing w:line="186" w:lineRule="exact"/>
              <w:ind w:left="108"/>
              <w:rPr>
                <w:spacing w:val="-10"/>
                <w:sz w:val="20"/>
                <w:szCs w:val="20"/>
              </w:rPr>
            </w:pPr>
          </w:p>
        </w:tc>
        <w:tc>
          <w:tcPr>
            <w:tcW w:w="2399" w:type="dxa"/>
            <w:vMerge/>
          </w:tcPr>
          <w:p w14:paraId="31CE795E" w14:textId="77777777" w:rsidR="001C720F" w:rsidRDefault="001C720F" w:rsidP="001C720F">
            <w:pPr>
              <w:rPr>
                <w:rStyle w:val="fontstyle01"/>
              </w:rPr>
            </w:pPr>
          </w:p>
        </w:tc>
        <w:tc>
          <w:tcPr>
            <w:tcW w:w="992" w:type="dxa"/>
            <w:vMerge/>
          </w:tcPr>
          <w:p w14:paraId="5912D03B" w14:textId="77777777" w:rsidR="001C720F" w:rsidRPr="00F07F2F" w:rsidRDefault="001C720F" w:rsidP="00C123A4">
            <w:pPr>
              <w:pStyle w:val="TableParagraph"/>
              <w:spacing w:line="186" w:lineRule="exact"/>
              <w:ind w:right="216"/>
              <w:jc w:val="right"/>
              <w:rPr>
                <w:spacing w:val="-2"/>
                <w:sz w:val="20"/>
                <w:szCs w:val="20"/>
              </w:rPr>
            </w:pPr>
          </w:p>
        </w:tc>
        <w:tc>
          <w:tcPr>
            <w:tcW w:w="851" w:type="dxa"/>
          </w:tcPr>
          <w:p w14:paraId="41CB5368" w14:textId="77777777" w:rsidR="001C720F" w:rsidRPr="00F07F2F" w:rsidRDefault="001C720F">
            <w:pPr>
              <w:pStyle w:val="TableParagraph"/>
              <w:spacing w:line="186" w:lineRule="exact"/>
              <w:ind w:left="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417" w:type="dxa"/>
          </w:tcPr>
          <w:p w14:paraId="304B8CCE" w14:textId="77777777" w:rsidR="001C720F" w:rsidRPr="00F07F2F" w:rsidRDefault="001C720F">
            <w:pPr>
              <w:pStyle w:val="TableParagraph"/>
              <w:spacing w:line="186" w:lineRule="exact"/>
              <w:ind w:left="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5D659460" w14:textId="337677E1" w:rsidR="001C720F" w:rsidRPr="006F3FF1" w:rsidRDefault="006F3FF1" w:rsidP="001C720F">
            <w:pPr>
              <w:rPr>
                <w:sz w:val="20"/>
                <w:szCs w:val="20"/>
              </w:rPr>
            </w:pPr>
            <w:r w:rsidRPr="006F3FF1">
              <w:rPr>
                <w:sz w:val="20"/>
                <w:szCs w:val="20"/>
              </w:rPr>
              <w:t xml:space="preserve">340 466 765,23 </w:t>
            </w:r>
          </w:p>
          <w:p w14:paraId="1CFA030A" w14:textId="77777777" w:rsidR="001C720F" w:rsidRPr="00F07F2F" w:rsidRDefault="001C720F">
            <w:pPr>
              <w:pStyle w:val="TableParagraph"/>
              <w:spacing w:line="186" w:lineRule="exact"/>
              <w:ind w:left="107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3E535A25" w14:textId="77777777" w:rsidR="001C720F" w:rsidRPr="00F07F2F" w:rsidRDefault="001C720F" w:rsidP="00C123A4">
            <w:pPr>
              <w:pStyle w:val="TableParagraph"/>
              <w:spacing w:line="186" w:lineRule="exact"/>
              <w:ind w:left="10" w:right="77"/>
              <w:rPr>
                <w:spacing w:val="-2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14:paraId="1EB60A2C" w14:textId="77777777" w:rsidR="001C720F" w:rsidRPr="001C720F" w:rsidRDefault="001C720F" w:rsidP="001C720F">
            <w:pPr>
              <w:pStyle w:val="TableParagraph"/>
              <w:spacing w:line="177" w:lineRule="exact"/>
              <w:ind w:right="37"/>
              <w:rPr>
                <w:spacing w:val="-2"/>
                <w:sz w:val="20"/>
                <w:szCs w:val="20"/>
              </w:rPr>
            </w:pPr>
          </w:p>
        </w:tc>
      </w:tr>
    </w:tbl>
    <w:p w14:paraId="4692998A" w14:textId="77777777" w:rsidR="00284EF3" w:rsidRPr="00F07F2F" w:rsidRDefault="00284EF3" w:rsidP="00284EF3">
      <w:pPr>
        <w:pStyle w:val="a5"/>
        <w:numPr>
          <w:ilvl w:val="0"/>
          <w:numId w:val="1"/>
        </w:numPr>
        <w:tabs>
          <w:tab w:val="left" w:pos="910"/>
        </w:tabs>
        <w:spacing w:before="4"/>
        <w:ind w:left="910"/>
        <w:jc w:val="left"/>
        <w:rPr>
          <w:sz w:val="20"/>
          <w:szCs w:val="20"/>
        </w:rPr>
      </w:pPr>
      <w:r w:rsidRPr="00F07F2F">
        <w:rPr>
          <w:sz w:val="20"/>
          <w:szCs w:val="20"/>
        </w:rPr>
        <w:t>Ценовое предложение</w:t>
      </w:r>
      <w:r w:rsidRPr="00F07F2F" w:rsidDel="008807F0">
        <w:rPr>
          <w:sz w:val="20"/>
          <w:szCs w:val="20"/>
        </w:rPr>
        <w:t xml:space="preserve"> </w:t>
      </w:r>
      <w:r w:rsidRPr="00F07F2F">
        <w:rPr>
          <w:sz w:val="20"/>
          <w:szCs w:val="20"/>
        </w:rPr>
        <w:t>потенциального поставщика формируется согласно Приложению №1 и должно содержать:</w:t>
      </w:r>
    </w:p>
    <w:p w14:paraId="01191C87" w14:textId="77777777" w:rsidR="00284EF3" w:rsidRPr="00F07F2F" w:rsidRDefault="00284EF3" w:rsidP="00F07F2F">
      <w:pPr>
        <w:pStyle w:val="a5"/>
        <w:widowControl/>
        <w:numPr>
          <w:ilvl w:val="0"/>
          <w:numId w:val="2"/>
        </w:numPr>
        <w:tabs>
          <w:tab w:val="left" w:pos="1134"/>
        </w:tabs>
        <w:autoSpaceDE/>
        <w:autoSpaceDN/>
        <w:ind w:left="284" w:firstLine="709"/>
        <w:contextualSpacing/>
        <w:jc w:val="both"/>
        <w:rPr>
          <w:sz w:val="20"/>
          <w:szCs w:val="20"/>
        </w:rPr>
      </w:pPr>
      <w:r w:rsidRPr="00F07F2F">
        <w:rPr>
          <w:sz w:val="20"/>
          <w:szCs w:val="20"/>
        </w:rPr>
        <w:t>наименование закупки ТРУ;</w:t>
      </w:r>
    </w:p>
    <w:p w14:paraId="3B680EE8" w14:textId="77777777" w:rsidR="00284EF3" w:rsidRPr="00F07F2F" w:rsidRDefault="00284EF3" w:rsidP="00F07F2F">
      <w:pPr>
        <w:pStyle w:val="a5"/>
        <w:widowControl/>
        <w:numPr>
          <w:ilvl w:val="0"/>
          <w:numId w:val="2"/>
        </w:numPr>
        <w:tabs>
          <w:tab w:val="left" w:pos="1134"/>
        </w:tabs>
        <w:autoSpaceDE/>
        <w:autoSpaceDN/>
        <w:ind w:left="709" w:firstLine="284"/>
        <w:contextualSpacing/>
        <w:jc w:val="both"/>
        <w:rPr>
          <w:sz w:val="20"/>
          <w:szCs w:val="20"/>
        </w:rPr>
      </w:pPr>
      <w:r w:rsidRPr="00F07F2F">
        <w:rPr>
          <w:sz w:val="20"/>
          <w:szCs w:val="20"/>
        </w:rPr>
        <w:t>наименование потенциального поставщика, его контактные данные (юридический и фактический адреса, номера телефонов, адрес электронной почты, официальный веб-сайт), к</w:t>
      </w:r>
      <w:proofErr w:type="spellStart"/>
      <w:r w:rsidRPr="00F07F2F">
        <w:rPr>
          <w:sz w:val="20"/>
          <w:szCs w:val="20"/>
          <w:lang w:val="kk-KZ"/>
        </w:rPr>
        <w:t>онтактные</w:t>
      </w:r>
      <w:proofErr w:type="spellEnd"/>
      <w:r w:rsidRPr="00F07F2F">
        <w:rPr>
          <w:sz w:val="20"/>
          <w:szCs w:val="20"/>
          <w:lang w:val="kk-KZ"/>
        </w:rPr>
        <w:t xml:space="preserve"> </w:t>
      </w:r>
      <w:proofErr w:type="spellStart"/>
      <w:r w:rsidRPr="00F07F2F">
        <w:rPr>
          <w:sz w:val="20"/>
          <w:szCs w:val="20"/>
          <w:lang w:val="kk-KZ"/>
        </w:rPr>
        <w:t>данные</w:t>
      </w:r>
      <w:proofErr w:type="spellEnd"/>
      <w:r w:rsidRPr="00F07F2F">
        <w:rPr>
          <w:sz w:val="20"/>
          <w:szCs w:val="20"/>
          <w:lang w:val="kk-KZ"/>
        </w:rPr>
        <w:t xml:space="preserve"> </w:t>
      </w:r>
      <w:proofErr w:type="spellStart"/>
      <w:r w:rsidRPr="00F07F2F">
        <w:rPr>
          <w:sz w:val="20"/>
          <w:szCs w:val="20"/>
          <w:lang w:val="kk-KZ"/>
        </w:rPr>
        <w:t>представителя</w:t>
      </w:r>
      <w:proofErr w:type="spellEnd"/>
      <w:r w:rsidRPr="00F07F2F">
        <w:rPr>
          <w:sz w:val="20"/>
          <w:szCs w:val="20"/>
          <w:lang w:val="kk-KZ"/>
        </w:rPr>
        <w:t xml:space="preserve"> </w:t>
      </w:r>
      <w:proofErr w:type="spellStart"/>
      <w:r w:rsidRPr="00F07F2F">
        <w:rPr>
          <w:sz w:val="20"/>
          <w:szCs w:val="20"/>
          <w:lang w:val="kk-KZ"/>
        </w:rPr>
        <w:t>поставщика</w:t>
      </w:r>
      <w:proofErr w:type="spellEnd"/>
      <w:r w:rsidRPr="00F07F2F">
        <w:rPr>
          <w:sz w:val="20"/>
          <w:szCs w:val="20"/>
          <w:lang w:val="kk-KZ"/>
        </w:rPr>
        <w:t xml:space="preserve"> </w:t>
      </w:r>
      <w:r w:rsidRPr="00F07F2F">
        <w:rPr>
          <w:sz w:val="20"/>
          <w:szCs w:val="20"/>
        </w:rPr>
        <w:t>(ФИО, номера телефонов, адрес электронной почты);</w:t>
      </w:r>
    </w:p>
    <w:p w14:paraId="2210A609" w14:textId="77777777" w:rsidR="00284EF3" w:rsidRPr="00F07F2F" w:rsidRDefault="00284EF3" w:rsidP="00F07F2F">
      <w:pPr>
        <w:pStyle w:val="a5"/>
        <w:widowControl/>
        <w:numPr>
          <w:ilvl w:val="0"/>
          <w:numId w:val="2"/>
        </w:numPr>
        <w:tabs>
          <w:tab w:val="left" w:pos="1134"/>
        </w:tabs>
        <w:autoSpaceDE/>
        <w:autoSpaceDN/>
        <w:ind w:left="709" w:firstLine="284"/>
        <w:contextualSpacing/>
        <w:jc w:val="both"/>
        <w:rPr>
          <w:sz w:val="20"/>
          <w:szCs w:val="20"/>
        </w:rPr>
      </w:pPr>
      <w:r w:rsidRPr="00F07F2F">
        <w:rPr>
          <w:sz w:val="20"/>
          <w:szCs w:val="20"/>
        </w:rPr>
        <w:t>документ(ы), содержащий(е) сведения о государственной регистрации потенциального поставщика, первом руководителе и учредителях (участниках) потенциального поставщика, выданный(е) в соответствии с законодательством Республики Казахстан не более чем за 30 (тридцать) календарных дней до даты вскрытия тендерных заявок;</w:t>
      </w:r>
    </w:p>
    <w:p w14:paraId="73BE7EB5" w14:textId="77777777" w:rsidR="00284EF3" w:rsidRPr="00F07F2F" w:rsidRDefault="00284EF3" w:rsidP="00F07F2F">
      <w:pPr>
        <w:pStyle w:val="a5"/>
        <w:widowControl/>
        <w:numPr>
          <w:ilvl w:val="0"/>
          <w:numId w:val="2"/>
        </w:numPr>
        <w:tabs>
          <w:tab w:val="left" w:pos="1134"/>
        </w:tabs>
        <w:autoSpaceDE/>
        <w:autoSpaceDN/>
        <w:ind w:left="709" w:firstLine="284"/>
        <w:contextualSpacing/>
        <w:jc w:val="both"/>
        <w:rPr>
          <w:sz w:val="20"/>
          <w:szCs w:val="20"/>
        </w:rPr>
      </w:pPr>
      <w:r w:rsidRPr="00F07F2F">
        <w:rPr>
          <w:sz w:val="20"/>
          <w:szCs w:val="20"/>
        </w:rPr>
        <w:t>сведения о первом руководителе, участниках/учредителях (если АО, то сведения об акционерах, владеющих свыше 10% акций) потенциального поставщика (ФИО, ИИН, БИН);</w:t>
      </w:r>
    </w:p>
    <w:p w14:paraId="6E0FE4FB" w14:textId="77777777" w:rsidR="00284EF3" w:rsidRPr="00F07F2F" w:rsidRDefault="00284EF3" w:rsidP="00F07F2F">
      <w:pPr>
        <w:pStyle w:val="a5"/>
        <w:widowControl/>
        <w:numPr>
          <w:ilvl w:val="0"/>
          <w:numId w:val="2"/>
        </w:numPr>
        <w:tabs>
          <w:tab w:val="left" w:pos="1134"/>
        </w:tabs>
        <w:autoSpaceDE/>
        <w:autoSpaceDN/>
        <w:ind w:left="709" w:firstLine="284"/>
        <w:contextualSpacing/>
        <w:jc w:val="both"/>
        <w:rPr>
          <w:sz w:val="20"/>
          <w:szCs w:val="20"/>
        </w:rPr>
      </w:pPr>
      <w:r w:rsidRPr="00F07F2F">
        <w:rPr>
          <w:sz w:val="20"/>
          <w:szCs w:val="20"/>
        </w:rPr>
        <w:t>информацию о близких родственниках, супруге, свойственниках первого руководителя, участников (учредителей), а также акционеров, владеющих более 10% акций потенциального поставщика;</w:t>
      </w:r>
    </w:p>
    <w:p w14:paraId="72D05B81" w14:textId="77777777" w:rsidR="00284EF3" w:rsidRPr="00F07F2F" w:rsidRDefault="00284EF3" w:rsidP="00F07F2F">
      <w:pPr>
        <w:pStyle w:val="a5"/>
        <w:widowControl/>
        <w:numPr>
          <w:ilvl w:val="0"/>
          <w:numId w:val="2"/>
        </w:numPr>
        <w:tabs>
          <w:tab w:val="left" w:pos="1134"/>
        </w:tabs>
        <w:autoSpaceDE/>
        <w:autoSpaceDN/>
        <w:ind w:left="709" w:firstLine="284"/>
        <w:contextualSpacing/>
        <w:jc w:val="both"/>
        <w:rPr>
          <w:sz w:val="20"/>
          <w:szCs w:val="20"/>
        </w:rPr>
      </w:pPr>
      <w:r w:rsidRPr="00F07F2F">
        <w:rPr>
          <w:sz w:val="20"/>
          <w:szCs w:val="20"/>
        </w:rPr>
        <w:t>лицензии либо заявление потенциального поставщика, содержащее ссылку на официальный интернет-ресурс государственного органа, выдавшего лицензию (при использовании электронной системы лицензирования);</w:t>
      </w:r>
    </w:p>
    <w:p w14:paraId="3E535A7A" w14:textId="77777777" w:rsidR="00284EF3" w:rsidRPr="00F07F2F" w:rsidRDefault="00284EF3" w:rsidP="00F07F2F">
      <w:pPr>
        <w:pStyle w:val="a5"/>
        <w:widowControl/>
        <w:numPr>
          <w:ilvl w:val="0"/>
          <w:numId w:val="2"/>
        </w:numPr>
        <w:tabs>
          <w:tab w:val="left" w:pos="1134"/>
        </w:tabs>
        <w:autoSpaceDE/>
        <w:autoSpaceDN/>
        <w:ind w:left="709" w:firstLine="284"/>
        <w:contextualSpacing/>
        <w:jc w:val="both"/>
        <w:rPr>
          <w:sz w:val="20"/>
          <w:szCs w:val="20"/>
        </w:rPr>
      </w:pPr>
      <w:r w:rsidRPr="00F07F2F">
        <w:rPr>
          <w:sz w:val="20"/>
          <w:szCs w:val="20"/>
        </w:rPr>
        <w:t xml:space="preserve">техническую часть (отдельный файл под паролем), включая: </w:t>
      </w:r>
    </w:p>
    <w:p w14:paraId="1EC2C27B" w14:textId="77777777" w:rsidR="00284EF3" w:rsidRPr="00F07F2F" w:rsidRDefault="00284EF3" w:rsidP="00FC653B">
      <w:pPr>
        <w:pStyle w:val="a5"/>
        <w:widowControl/>
        <w:tabs>
          <w:tab w:val="left" w:pos="1134"/>
        </w:tabs>
        <w:autoSpaceDE/>
        <w:autoSpaceDN/>
        <w:ind w:left="709" w:firstLine="425"/>
        <w:contextualSpacing/>
        <w:jc w:val="both"/>
        <w:rPr>
          <w:sz w:val="20"/>
          <w:szCs w:val="20"/>
        </w:rPr>
      </w:pPr>
      <w:r w:rsidRPr="00F07F2F">
        <w:rPr>
          <w:sz w:val="20"/>
          <w:szCs w:val="20"/>
        </w:rPr>
        <w:t>- техническую спецификацию;</w:t>
      </w:r>
    </w:p>
    <w:p w14:paraId="30AB9917" w14:textId="77777777" w:rsidR="00284EF3" w:rsidRPr="00F07F2F" w:rsidRDefault="00284EF3" w:rsidP="00FC653B">
      <w:pPr>
        <w:ind w:firstLine="1134"/>
        <w:rPr>
          <w:sz w:val="20"/>
          <w:szCs w:val="20"/>
        </w:rPr>
      </w:pPr>
      <w:r w:rsidRPr="00F07F2F">
        <w:rPr>
          <w:sz w:val="20"/>
          <w:szCs w:val="20"/>
        </w:rPr>
        <w:t>- документы, требуемые в объявлении Общества, применительно к технической части;</w:t>
      </w:r>
    </w:p>
    <w:p w14:paraId="421CC7DE" w14:textId="77777777" w:rsidR="00284EF3" w:rsidRPr="00F07F2F" w:rsidRDefault="00284EF3" w:rsidP="00FC653B">
      <w:pPr>
        <w:ind w:firstLine="1134"/>
        <w:rPr>
          <w:sz w:val="20"/>
          <w:szCs w:val="20"/>
        </w:rPr>
      </w:pPr>
      <w:r w:rsidRPr="00F07F2F">
        <w:rPr>
          <w:sz w:val="20"/>
          <w:szCs w:val="20"/>
        </w:rPr>
        <w:t>- сроки (график) поставки ТРУ;</w:t>
      </w:r>
    </w:p>
    <w:p w14:paraId="652C788C" w14:textId="77777777" w:rsidR="00284EF3" w:rsidRPr="00F07F2F" w:rsidRDefault="00284EF3" w:rsidP="00FC653B">
      <w:pPr>
        <w:ind w:firstLine="1134"/>
        <w:rPr>
          <w:sz w:val="20"/>
          <w:szCs w:val="20"/>
        </w:rPr>
      </w:pPr>
      <w:r w:rsidRPr="00F07F2F">
        <w:rPr>
          <w:sz w:val="20"/>
          <w:szCs w:val="20"/>
        </w:rPr>
        <w:t>- гарантийные обязательства по качеству ТРУ;</w:t>
      </w:r>
    </w:p>
    <w:p w14:paraId="76197816" w14:textId="77777777" w:rsidR="00284EF3" w:rsidRPr="00F07F2F" w:rsidRDefault="00284EF3" w:rsidP="00F07F2F">
      <w:pPr>
        <w:ind w:firstLine="993"/>
        <w:rPr>
          <w:sz w:val="20"/>
          <w:szCs w:val="20"/>
        </w:rPr>
      </w:pPr>
      <w:r w:rsidRPr="00F07F2F">
        <w:rPr>
          <w:sz w:val="20"/>
          <w:szCs w:val="20"/>
        </w:rPr>
        <w:t>8) ценовую часть (отдельный файл под паролем):</w:t>
      </w:r>
    </w:p>
    <w:p w14:paraId="4A20CD0B" w14:textId="77777777" w:rsidR="00284EF3" w:rsidRPr="00F07F2F" w:rsidRDefault="00284EF3" w:rsidP="00FC653B">
      <w:pPr>
        <w:ind w:firstLine="1134"/>
        <w:rPr>
          <w:sz w:val="20"/>
          <w:szCs w:val="20"/>
        </w:rPr>
      </w:pPr>
      <w:r w:rsidRPr="00F07F2F">
        <w:rPr>
          <w:sz w:val="20"/>
          <w:szCs w:val="20"/>
        </w:rPr>
        <w:t>- цена за единицу (без учета НДС);</w:t>
      </w:r>
    </w:p>
    <w:p w14:paraId="6766EBF2" w14:textId="77777777" w:rsidR="00284EF3" w:rsidRPr="00F07F2F" w:rsidRDefault="00284EF3" w:rsidP="00FC653B">
      <w:pPr>
        <w:ind w:firstLine="1134"/>
        <w:rPr>
          <w:sz w:val="20"/>
          <w:szCs w:val="20"/>
        </w:rPr>
      </w:pPr>
      <w:r w:rsidRPr="00F07F2F">
        <w:rPr>
          <w:sz w:val="20"/>
          <w:szCs w:val="20"/>
        </w:rPr>
        <w:t>- итоговая общая стоимость ТРУ (без учета НДС), с учетом всех необходимых расходов;</w:t>
      </w:r>
    </w:p>
    <w:p w14:paraId="727691A8" w14:textId="77777777" w:rsidR="00284EF3" w:rsidRPr="00F07F2F" w:rsidRDefault="00284EF3" w:rsidP="00F07F2F">
      <w:pPr>
        <w:ind w:firstLine="993"/>
        <w:rPr>
          <w:sz w:val="20"/>
          <w:szCs w:val="20"/>
        </w:rPr>
      </w:pPr>
      <w:r w:rsidRPr="00F07F2F">
        <w:rPr>
          <w:sz w:val="20"/>
          <w:szCs w:val="20"/>
        </w:rPr>
        <w:t>9) иные документы и требования по решению Общества.</w:t>
      </w:r>
    </w:p>
    <w:p w14:paraId="49BEC5B4" w14:textId="77777777" w:rsidR="00CC4B95" w:rsidRPr="00F07F2F" w:rsidRDefault="00CC4B95">
      <w:pPr>
        <w:pStyle w:val="a3"/>
      </w:pPr>
    </w:p>
    <w:p w14:paraId="36B364FB" w14:textId="77777777" w:rsidR="00284EF3" w:rsidRPr="00F07F2F" w:rsidRDefault="00284EF3" w:rsidP="00AC4437">
      <w:pPr>
        <w:pStyle w:val="a5"/>
        <w:numPr>
          <w:ilvl w:val="0"/>
          <w:numId w:val="1"/>
        </w:numPr>
        <w:tabs>
          <w:tab w:val="left" w:pos="910"/>
        </w:tabs>
        <w:spacing w:before="4"/>
        <w:ind w:left="910" w:hanging="201"/>
        <w:jc w:val="left"/>
        <w:rPr>
          <w:sz w:val="20"/>
          <w:szCs w:val="20"/>
        </w:rPr>
      </w:pPr>
      <w:r w:rsidRPr="00F07F2F">
        <w:rPr>
          <w:sz w:val="20"/>
          <w:szCs w:val="20"/>
        </w:rPr>
        <w:lastRenderedPageBreak/>
        <w:t>Пароли к технической и ценовой частям потенциальный поставщик предоставляет до 11:00 часов рабочего дня, следующего за днем окончания срока приема ценовых предложений.</w:t>
      </w:r>
    </w:p>
    <w:p w14:paraId="1B35BBD1" w14:textId="77777777" w:rsidR="00284EF3" w:rsidRPr="00A6786A" w:rsidRDefault="00284EF3" w:rsidP="00A6786A">
      <w:pPr>
        <w:pStyle w:val="a5"/>
        <w:numPr>
          <w:ilvl w:val="0"/>
          <w:numId w:val="1"/>
        </w:numPr>
        <w:tabs>
          <w:tab w:val="left" w:pos="910"/>
        </w:tabs>
        <w:spacing w:before="4"/>
        <w:ind w:left="910" w:hanging="201"/>
        <w:jc w:val="left"/>
        <w:rPr>
          <w:sz w:val="20"/>
          <w:szCs w:val="20"/>
        </w:rPr>
      </w:pPr>
      <w:r w:rsidRPr="00A6786A">
        <w:rPr>
          <w:sz w:val="20"/>
          <w:szCs w:val="20"/>
        </w:rPr>
        <w:t>Критерии и условия участия в закупке (в том числе требования к опыту работы потенциального поставщика, квалификации, специалистам и иные)</w:t>
      </w:r>
      <w:r w:rsidR="00FD1090" w:rsidRPr="00A6786A">
        <w:rPr>
          <w:sz w:val="20"/>
          <w:szCs w:val="20"/>
        </w:rPr>
        <w:t>:</w:t>
      </w:r>
      <w:r w:rsidR="00A6786A" w:rsidRPr="00A6786A">
        <w:rPr>
          <w:sz w:val="20"/>
          <w:szCs w:val="20"/>
        </w:rPr>
        <w:t xml:space="preserve"> </w:t>
      </w:r>
      <w:bookmarkStart w:id="0" w:name="_Hlk216684439"/>
      <w:r w:rsidR="00A6786A" w:rsidRPr="00A6786A">
        <w:rPr>
          <w:sz w:val="20"/>
          <w:szCs w:val="20"/>
        </w:rPr>
        <w:t>приложение №</w:t>
      </w:r>
      <w:r w:rsidR="009F2C09">
        <w:rPr>
          <w:sz w:val="20"/>
          <w:szCs w:val="20"/>
        </w:rPr>
        <w:t>3</w:t>
      </w:r>
      <w:r w:rsidR="00A6786A" w:rsidRPr="00A6786A">
        <w:rPr>
          <w:sz w:val="20"/>
          <w:szCs w:val="20"/>
        </w:rPr>
        <w:t xml:space="preserve"> к объявлению</w:t>
      </w:r>
      <w:bookmarkEnd w:id="0"/>
      <w:r w:rsidR="001E1100">
        <w:rPr>
          <w:sz w:val="20"/>
          <w:szCs w:val="20"/>
        </w:rPr>
        <w:t>.</w:t>
      </w:r>
    </w:p>
    <w:p w14:paraId="7772F11A" w14:textId="77777777" w:rsidR="00284EF3" w:rsidRPr="00A6786A" w:rsidRDefault="00FC653B" w:rsidP="00AC4437">
      <w:pPr>
        <w:pStyle w:val="a5"/>
        <w:numPr>
          <w:ilvl w:val="0"/>
          <w:numId w:val="1"/>
        </w:numPr>
        <w:tabs>
          <w:tab w:val="left" w:pos="910"/>
        </w:tabs>
        <w:spacing w:before="4"/>
        <w:ind w:left="910" w:hanging="201"/>
        <w:jc w:val="left"/>
        <w:rPr>
          <w:sz w:val="20"/>
          <w:szCs w:val="20"/>
        </w:rPr>
      </w:pPr>
      <w:r w:rsidRPr="00A6786A">
        <w:rPr>
          <w:sz w:val="20"/>
          <w:szCs w:val="20"/>
        </w:rPr>
        <w:t>Т</w:t>
      </w:r>
      <w:r w:rsidR="00A6510E" w:rsidRPr="00A6786A">
        <w:rPr>
          <w:sz w:val="20"/>
          <w:szCs w:val="20"/>
        </w:rPr>
        <w:t>ребование о предоставлении в составе ценового предложения лицензии, если осуществление соответствующего вида деятельности подлежит обязательному лицензированию, либо заявление потенциального поставщика, содержащее ссылку на официальный интернет-ресурс государственного органа, выдавшего лицензию (при использовании электронной системы лицензирования)</w:t>
      </w:r>
      <w:r w:rsidRPr="00A6786A">
        <w:rPr>
          <w:sz w:val="20"/>
          <w:szCs w:val="20"/>
        </w:rPr>
        <w:t>:</w:t>
      </w:r>
      <w:r w:rsidR="00A6786A" w:rsidRPr="00A6786A">
        <w:rPr>
          <w:sz w:val="20"/>
          <w:szCs w:val="20"/>
        </w:rPr>
        <w:t xml:space="preserve"> НЕТ</w:t>
      </w:r>
    </w:p>
    <w:p w14:paraId="0F986AC9" w14:textId="77777777" w:rsidR="00935B9D" w:rsidRPr="00F07F2F" w:rsidRDefault="00935B9D" w:rsidP="00935B9D">
      <w:pPr>
        <w:pStyle w:val="a5"/>
        <w:numPr>
          <w:ilvl w:val="0"/>
          <w:numId w:val="1"/>
        </w:numPr>
        <w:tabs>
          <w:tab w:val="left" w:pos="910"/>
        </w:tabs>
        <w:spacing w:before="4"/>
        <w:ind w:left="993" w:hanging="284"/>
        <w:jc w:val="left"/>
        <w:rPr>
          <w:sz w:val="20"/>
          <w:szCs w:val="20"/>
        </w:rPr>
      </w:pPr>
      <w:r w:rsidRPr="00F07F2F">
        <w:rPr>
          <w:sz w:val="20"/>
          <w:szCs w:val="20"/>
        </w:rPr>
        <w:t>При рассмотрении ценовых предложений Общество вправе осуществить выезд по месту нахождения объектов и (или) материально-технической базы потенциального поставщика с целью определения его соответствия установленным требованиям</w:t>
      </w:r>
      <w:r w:rsidR="00B70DF1" w:rsidRPr="00F07F2F">
        <w:rPr>
          <w:sz w:val="20"/>
          <w:szCs w:val="20"/>
        </w:rPr>
        <w:t xml:space="preserve"> п.5</w:t>
      </w:r>
      <w:r w:rsidRPr="00F07F2F">
        <w:rPr>
          <w:sz w:val="20"/>
          <w:szCs w:val="20"/>
        </w:rPr>
        <w:t>, а также оценки соответствия предлагаемого к поставке товара.</w:t>
      </w:r>
    </w:p>
    <w:p w14:paraId="654549B4" w14:textId="77777777" w:rsidR="00935B9D" w:rsidRPr="00F07F2F" w:rsidRDefault="00935B9D" w:rsidP="00935B9D">
      <w:pPr>
        <w:pStyle w:val="a5"/>
        <w:numPr>
          <w:ilvl w:val="0"/>
          <w:numId w:val="1"/>
        </w:numPr>
        <w:tabs>
          <w:tab w:val="left" w:pos="993"/>
        </w:tabs>
        <w:spacing w:before="4"/>
        <w:ind w:left="993" w:hanging="284"/>
        <w:jc w:val="left"/>
        <w:rPr>
          <w:sz w:val="20"/>
          <w:szCs w:val="20"/>
        </w:rPr>
      </w:pPr>
      <w:r w:rsidRPr="00F07F2F">
        <w:rPr>
          <w:sz w:val="20"/>
          <w:szCs w:val="20"/>
        </w:rPr>
        <w:t>Техническ</w:t>
      </w:r>
      <w:r w:rsidR="00B70DF1" w:rsidRPr="00F07F2F">
        <w:rPr>
          <w:sz w:val="20"/>
          <w:szCs w:val="20"/>
        </w:rPr>
        <w:t>ая</w:t>
      </w:r>
      <w:r w:rsidRPr="00F07F2F">
        <w:rPr>
          <w:sz w:val="20"/>
          <w:szCs w:val="20"/>
        </w:rPr>
        <w:t xml:space="preserve"> спецификаци</w:t>
      </w:r>
      <w:r w:rsidR="00B70DF1" w:rsidRPr="00F07F2F">
        <w:rPr>
          <w:sz w:val="20"/>
          <w:szCs w:val="20"/>
        </w:rPr>
        <w:t xml:space="preserve">я </w:t>
      </w:r>
      <w:r w:rsidR="00B70DF1" w:rsidRPr="00F07F2F">
        <w:rPr>
          <w:rStyle w:val="fontstyle01"/>
          <w:rFonts w:ascii="Times New Roman" w:hAnsi="Times New Roman"/>
          <w:sz w:val="20"/>
          <w:szCs w:val="20"/>
        </w:rPr>
        <w:t>(техническое задание) потенциального поставщика должна соответствовать требованиям, установленным объявлением Общества</w:t>
      </w:r>
      <w:r w:rsidR="00B70DF1" w:rsidRPr="00F07F2F">
        <w:rPr>
          <w:sz w:val="20"/>
          <w:szCs w:val="20"/>
        </w:rPr>
        <w:t>.</w:t>
      </w:r>
      <w:r w:rsidRPr="00F07F2F">
        <w:rPr>
          <w:sz w:val="20"/>
          <w:szCs w:val="20"/>
        </w:rPr>
        <w:br/>
        <w:t>Потенциальный поставщик вправе предложить в технической части альтернативные условия к установленной технической спецификации ТРУ, при условии, что они не ухудшают исходные характеристики.</w:t>
      </w:r>
    </w:p>
    <w:p w14:paraId="2E29706F" w14:textId="77777777" w:rsidR="00935B9D" w:rsidRPr="00F07F2F" w:rsidRDefault="00B70DF1" w:rsidP="00B70DF1">
      <w:pPr>
        <w:pStyle w:val="a5"/>
        <w:numPr>
          <w:ilvl w:val="0"/>
          <w:numId w:val="1"/>
        </w:numPr>
        <w:tabs>
          <w:tab w:val="left" w:pos="993"/>
        </w:tabs>
        <w:spacing w:before="4"/>
        <w:ind w:left="993" w:hanging="284"/>
        <w:jc w:val="left"/>
        <w:rPr>
          <w:sz w:val="20"/>
          <w:szCs w:val="20"/>
        </w:rPr>
      </w:pPr>
      <w:r w:rsidRPr="00F07F2F">
        <w:rPr>
          <w:sz w:val="20"/>
          <w:szCs w:val="20"/>
        </w:rPr>
        <w:t>Поставка осуществляется на условиях DDP (</w:t>
      </w:r>
      <w:proofErr w:type="spellStart"/>
      <w:r w:rsidRPr="00F07F2F">
        <w:rPr>
          <w:sz w:val="20"/>
          <w:szCs w:val="20"/>
        </w:rPr>
        <w:t>Delivered</w:t>
      </w:r>
      <w:proofErr w:type="spellEnd"/>
      <w:r w:rsidRPr="00F07F2F">
        <w:rPr>
          <w:sz w:val="20"/>
          <w:szCs w:val="20"/>
        </w:rPr>
        <w:t xml:space="preserve"> Duty </w:t>
      </w:r>
      <w:proofErr w:type="spellStart"/>
      <w:r w:rsidRPr="00F07F2F">
        <w:rPr>
          <w:sz w:val="20"/>
          <w:szCs w:val="20"/>
        </w:rPr>
        <w:t>Paid</w:t>
      </w:r>
      <w:proofErr w:type="spellEnd"/>
      <w:r w:rsidRPr="00F07F2F">
        <w:rPr>
          <w:sz w:val="20"/>
          <w:szCs w:val="20"/>
        </w:rPr>
        <w:t>) по ИНКОТЕРМС 2020 (при закупе товаров).</w:t>
      </w:r>
    </w:p>
    <w:p w14:paraId="06CB1756" w14:textId="77777777" w:rsidR="00E54DCF" w:rsidRDefault="00E54DCF" w:rsidP="00E54DCF">
      <w:pPr>
        <w:pStyle w:val="a5"/>
        <w:numPr>
          <w:ilvl w:val="0"/>
          <w:numId w:val="1"/>
        </w:numPr>
        <w:tabs>
          <w:tab w:val="left" w:pos="993"/>
        </w:tabs>
        <w:spacing w:before="4"/>
        <w:ind w:left="993" w:hanging="284"/>
        <w:jc w:val="left"/>
        <w:rPr>
          <w:sz w:val="20"/>
          <w:szCs w:val="20"/>
        </w:rPr>
      </w:pPr>
      <w:r w:rsidRPr="00F07F2F">
        <w:rPr>
          <w:sz w:val="20"/>
          <w:szCs w:val="20"/>
        </w:rPr>
        <w:t>Порядок, способ, место, предельные дата и время предоставления ценовых предложений потенциальными поставщиками.</w:t>
      </w:r>
    </w:p>
    <w:p w14:paraId="384AFCE2" w14:textId="77777777" w:rsidR="00655F8E" w:rsidRDefault="00655F8E" w:rsidP="00655F8E">
      <w:pPr>
        <w:pStyle w:val="a5"/>
        <w:tabs>
          <w:tab w:val="left" w:pos="993"/>
        </w:tabs>
        <w:spacing w:before="4"/>
        <w:ind w:left="993" w:firstLine="0"/>
        <w:jc w:val="right"/>
        <w:rPr>
          <w:sz w:val="20"/>
          <w:szCs w:val="20"/>
        </w:rPr>
      </w:pPr>
    </w:p>
    <w:p w14:paraId="2FD43E3F" w14:textId="573FAE63" w:rsidR="00655F8E" w:rsidRPr="00655F8E" w:rsidRDefault="00655F8E" w:rsidP="00655F8E">
      <w:pPr>
        <w:pStyle w:val="a5"/>
        <w:tabs>
          <w:tab w:val="left" w:pos="993"/>
        </w:tabs>
        <w:spacing w:before="4"/>
        <w:ind w:left="993" w:firstLine="0"/>
        <w:jc w:val="both"/>
        <w:rPr>
          <w:sz w:val="20"/>
          <w:szCs w:val="20"/>
        </w:rPr>
      </w:pPr>
      <w:r w:rsidRPr="00655F8E">
        <w:rPr>
          <w:sz w:val="20"/>
          <w:szCs w:val="20"/>
        </w:rPr>
        <w:t xml:space="preserve">Ценовое предложение направляется в электронном виде на электронный адрес </w:t>
      </w:r>
      <w:r w:rsidR="006F3FF1">
        <w:rPr>
          <w:b/>
          <w:sz w:val="20"/>
          <w:szCs w:val="20"/>
          <w:lang w:val="en-US"/>
        </w:rPr>
        <w:t>K</w:t>
      </w:r>
      <w:r w:rsidR="006F3FF1" w:rsidRPr="006F3FF1">
        <w:rPr>
          <w:b/>
          <w:sz w:val="20"/>
          <w:szCs w:val="20"/>
        </w:rPr>
        <w:t>_</w:t>
      </w:r>
      <w:r w:rsidR="006F3FF1">
        <w:rPr>
          <w:b/>
          <w:sz w:val="20"/>
          <w:szCs w:val="20"/>
          <w:lang w:val="en-US"/>
        </w:rPr>
        <w:t>MURINBAYEVA</w:t>
      </w:r>
      <w:r w:rsidRPr="00BB648C">
        <w:rPr>
          <w:b/>
          <w:sz w:val="20"/>
          <w:szCs w:val="20"/>
        </w:rPr>
        <w:t>@KBM.KZ</w:t>
      </w:r>
      <w:r w:rsidR="00BB648C">
        <w:rPr>
          <w:b/>
          <w:sz w:val="20"/>
          <w:szCs w:val="20"/>
        </w:rPr>
        <w:t>.</w:t>
      </w:r>
      <w:r w:rsidRPr="00655F8E">
        <w:rPr>
          <w:sz w:val="20"/>
          <w:szCs w:val="20"/>
        </w:rPr>
        <w:t xml:space="preserve"> После получения, секретарь Комиссии обязан направить подтверждение (уведомление) потенциальному поставщику о получении ценового предложения. </w:t>
      </w:r>
    </w:p>
    <w:p w14:paraId="7C64D00C" w14:textId="77777777" w:rsidR="00655F8E" w:rsidRDefault="00655F8E" w:rsidP="00655F8E">
      <w:pPr>
        <w:pStyle w:val="a5"/>
        <w:tabs>
          <w:tab w:val="left" w:pos="993"/>
        </w:tabs>
        <w:spacing w:before="4"/>
        <w:ind w:left="993" w:firstLine="0"/>
        <w:jc w:val="both"/>
        <w:rPr>
          <w:sz w:val="20"/>
          <w:szCs w:val="20"/>
        </w:rPr>
      </w:pPr>
      <w:r w:rsidRPr="00655F8E">
        <w:rPr>
          <w:sz w:val="20"/>
          <w:szCs w:val="20"/>
        </w:rPr>
        <w:t xml:space="preserve">Техническая и ценовая части ценового предложения должны быть зашифрованы паролем. </w:t>
      </w:r>
    </w:p>
    <w:p w14:paraId="428E6268" w14:textId="77777777" w:rsidR="00655F8E" w:rsidRDefault="00655F8E" w:rsidP="00655F8E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</w:p>
    <w:p w14:paraId="6B6207F8" w14:textId="77777777" w:rsidR="00E54DCF" w:rsidRPr="00F07F2F" w:rsidRDefault="00E54DCF" w:rsidP="00E54DCF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  <w:r w:rsidRPr="00F07F2F">
        <w:rPr>
          <w:sz w:val="20"/>
          <w:szCs w:val="20"/>
        </w:rPr>
        <w:t>Ценовое предложение потенциального поставщика подлежит регистрации в СЭД согласно требованиям внутреннего документооборота Общества.</w:t>
      </w:r>
    </w:p>
    <w:p w14:paraId="2AD8AD48" w14:textId="77777777" w:rsidR="00E54DCF" w:rsidRPr="00F07F2F" w:rsidRDefault="00E54DCF" w:rsidP="00E54DCF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  <w:lang w:val="kk-KZ"/>
        </w:rPr>
      </w:pPr>
      <w:r w:rsidRPr="00F07F2F">
        <w:rPr>
          <w:sz w:val="20"/>
          <w:szCs w:val="20"/>
        </w:rPr>
        <w:t>Ценовые предложения, поступившие позже установленной в объявлении даты и времени, не рассматриваются и подлежат возврату потенциальному поставщику с указанием причины возврата.</w:t>
      </w:r>
    </w:p>
    <w:p w14:paraId="557C641E" w14:textId="77777777" w:rsidR="00E54DCF" w:rsidRPr="00F07F2F" w:rsidRDefault="00B70DF1" w:rsidP="00E54DCF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  <w:r w:rsidRPr="00F07F2F">
        <w:rPr>
          <w:sz w:val="20"/>
          <w:szCs w:val="20"/>
        </w:rPr>
        <w:t>В случае выявления несоответствия установленным требованиям ценовых  предложений одного или более потенциальных поставщиков, но при этом ценовое предложение данного поставщика (-</w:t>
      </w:r>
      <w:proofErr w:type="spellStart"/>
      <w:r w:rsidRPr="00F07F2F">
        <w:rPr>
          <w:sz w:val="20"/>
          <w:szCs w:val="20"/>
        </w:rPr>
        <w:t>ов</w:t>
      </w:r>
      <w:proofErr w:type="spellEnd"/>
      <w:r w:rsidRPr="00F07F2F">
        <w:rPr>
          <w:sz w:val="20"/>
          <w:szCs w:val="20"/>
        </w:rPr>
        <w:t xml:space="preserve">) ниже предложенных цен потенциальных поставщиков, ценовое предложения которых соответствуют установленным требованиям, Общество направляет им предложение исправить (скорректировать) ценовое предложение и/или обновить ценовое предложение,  в течение 2 (двух) рабочих дней. </w:t>
      </w:r>
    </w:p>
    <w:p w14:paraId="2019BF3F" w14:textId="77777777" w:rsidR="00B70DF1" w:rsidRDefault="00B70DF1" w:rsidP="00E54DCF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  <w:r w:rsidRPr="00F07F2F">
        <w:rPr>
          <w:sz w:val="20"/>
          <w:szCs w:val="20"/>
        </w:rPr>
        <w:t xml:space="preserve">Одновременно с этим, Общество направляет потенциальным поставщикам, ценовые предложения которых изначально соответствовали требованиям, предложение обновить ценовое предложение в сторону уменьшения в течение 2 (двух) рабочих дней.  </w:t>
      </w:r>
    </w:p>
    <w:p w14:paraId="16CAA064" w14:textId="77777777" w:rsidR="00BA6FCF" w:rsidRDefault="00BA6FCF" w:rsidP="00E54DCF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</w:p>
    <w:p w14:paraId="7677E142" w14:textId="77777777" w:rsidR="00BA6FCF" w:rsidRPr="00BA6FCF" w:rsidRDefault="00BA6FCF" w:rsidP="00BA6FCF">
      <w:pPr>
        <w:pStyle w:val="a5"/>
        <w:tabs>
          <w:tab w:val="left" w:pos="993"/>
        </w:tabs>
        <w:spacing w:before="4"/>
        <w:ind w:left="993" w:hanging="142"/>
        <w:rPr>
          <w:sz w:val="20"/>
          <w:szCs w:val="20"/>
        </w:rPr>
      </w:pPr>
      <w:bookmarkStart w:id="1" w:name="_Toc96707625"/>
      <w:bookmarkStart w:id="2" w:name="_Hlk216681113"/>
      <w:r>
        <w:rPr>
          <w:sz w:val="20"/>
          <w:szCs w:val="20"/>
        </w:rPr>
        <w:t xml:space="preserve">11. </w:t>
      </w:r>
      <w:r w:rsidRPr="00BA6FCF">
        <w:rPr>
          <w:sz w:val="20"/>
          <w:szCs w:val="20"/>
        </w:rPr>
        <w:t>Ограничения, связанные с участием в закупках</w:t>
      </w:r>
      <w:bookmarkEnd w:id="1"/>
    </w:p>
    <w:p w14:paraId="7009A55F" w14:textId="77777777" w:rsidR="00BA6FCF" w:rsidRPr="00BA6FCF" w:rsidRDefault="00BA6FCF" w:rsidP="00BA6FCF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  <w:r w:rsidRPr="00BA6FCF">
        <w:rPr>
          <w:sz w:val="20"/>
          <w:szCs w:val="20"/>
        </w:rPr>
        <w:t>1. Потенциальный поставщик не вправе участвовать в проводимых закупках, если:</w:t>
      </w:r>
    </w:p>
    <w:p w14:paraId="3D1A2C37" w14:textId="77777777" w:rsidR="00BA6FCF" w:rsidRPr="00BA6FCF" w:rsidRDefault="00BA6FCF" w:rsidP="00BA6FCF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  <w:r w:rsidRPr="00BA6FCF">
        <w:rPr>
          <w:sz w:val="20"/>
          <w:szCs w:val="20"/>
        </w:rPr>
        <w:t>1) потенциальный поставщик или его субподрядчик (соисполнитель) либо участник консорциума состоит в реестре недобросовестных участников государственных закупок и (или) в реестре недобросовестных участников закупок, и (или) в перечне ненадежных потенциальных поставщиков (поставщиков) Фонда, и (или) в списке должников, в отношении которых вступило в законную силу решение суда о признании их банкротами;</w:t>
      </w:r>
    </w:p>
    <w:p w14:paraId="301F19D1" w14:textId="77777777" w:rsidR="00BA6FCF" w:rsidRPr="00BA6FCF" w:rsidRDefault="00BA6FCF" w:rsidP="00BA6FCF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  <w:r w:rsidRPr="00BA6FCF">
        <w:rPr>
          <w:sz w:val="20"/>
          <w:szCs w:val="20"/>
        </w:rPr>
        <w:t>2) потенциальный поставщик и (или) привлекаемый им субподрядчик (соисполнитель), и (или) их руководитель, и (или) учредители (акционеры) включены в перечень организаций и лиц, связанных с финансированием терроризма и экстремизма, или в перечень организаций и лиц, связанных с финансированием распространения оружия массового уничтожения, в порядке, установленном Законом Республики Казахстан «О противодействии легализации (отмыванию) доходов, полученных преступным путем, и финансированию терроризма»;</w:t>
      </w:r>
    </w:p>
    <w:p w14:paraId="342E269E" w14:textId="77777777" w:rsidR="00BA6FCF" w:rsidRPr="00BA6FCF" w:rsidRDefault="00BA6FCF" w:rsidP="00BA6FCF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  <w:r w:rsidRPr="00BA6FCF">
        <w:rPr>
          <w:sz w:val="20"/>
          <w:szCs w:val="20"/>
        </w:rPr>
        <w:t>3) потенциальный поставщик является юридическим лицом, местом регистрации которого является государство или территория, включенные в утверждаемый уполномоченным государственным органом, осуществляющим руководство в сфере обеспечения поступлений налогов и других обязательных платежей в бюджет, перечень государств с льготным налогообложением.</w:t>
      </w:r>
    </w:p>
    <w:p w14:paraId="698C3E02" w14:textId="77777777" w:rsidR="00BA6FCF" w:rsidRPr="00BA6FCF" w:rsidRDefault="00BA6FCF" w:rsidP="00BA6FCF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  <w:r w:rsidRPr="00BA6FCF">
        <w:rPr>
          <w:sz w:val="20"/>
          <w:szCs w:val="20"/>
        </w:rPr>
        <w:t>2. Не допускается заключение договора с потенциальными поставщиками, указанными в пункте 1 настоящей статьи.</w:t>
      </w:r>
    </w:p>
    <w:p w14:paraId="4433BEEC" w14:textId="77777777" w:rsidR="00BA6FCF" w:rsidRDefault="00BA6FCF" w:rsidP="00BA6FCF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  <w:r w:rsidRPr="00BA6FCF">
        <w:rPr>
          <w:sz w:val="20"/>
          <w:szCs w:val="20"/>
        </w:rPr>
        <w:t>3. Потенциальный поставщик и аффилированное лицо потенциального поставщика не имеют права участвовать в одном лоте</w:t>
      </w:r>
      <w:r>
        <w:rPr>
          <w:sz w:val="20"/>
          <w:szCs w:val="20"/>
        </w:rPr>
        <w:t>.</w:t>
      </w:r>
    </w:p>
    <w:bookmarkEnd w:id="2"/>
    <w:p w14:paraId="3E5C01B8" w14:textId="77777777" w:rsidR="0094448B" w:rsidRPr="0094448B" w:rsidRDefault="0094448B" w:rsidP="0094448B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</w:p>
    <w:p w14:paraId="2B35070B" w14:textId="621AEF52" w:rsidR="0094448B" w:rsidRPr="0094448B" w:rsidRDefault="0094448B" w:rsidP="0094448B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  <w:r w:rsidRPr="0094448B">
        <w:rPr>
          <w:sz w:val="20"/>
          <w:szCs w:val="20"/>
        </w:rPr>
        <w:t>12. Основания для отклонения предложений</w:t>
      </w:r>
    </w:p>
    <w:p w14:paraId="2C5BE7FF" w14:textId="77777777" w:rsidR="0094448B" w:rsidRPr="0094448B" w:rsidRDefault="0094448B" w:rsidP="0094448B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  <w:r w:rsidRPr="0094448B">
        <w:rPr>
          <w:sz w:val="20"/>
          <w:szCs w:val="20"/>
        </w:rPr>
        <w:t>Ценовые предложение потенциального поставщика подлежит отклонению в следующих случаях:</w:t>
      </w:r>
      <w:r w:rsidRPr="0094448B">
        <w:rPr>
          <w:sz w:val="20"/>
          <w:szCs w:val="20"/>
        </w:rPr>
        <w:br/>
        <w:t>1) представление недостоверной, искаженной либо неполной информации, в том числе сведений, влияющих на итоги оценки;</w:t>
      </w:r>
      <w:r w:rsidRPr="0094448B">
        <w:rPr>
          <w:sz w:val="20"/>
          <w:szCs w:val="20"/>
        </w:rPr>
        <w:br/>
      </w:r>
      <w:r w:rsidRPr="0094448B">
        <w:rPr>
          <w:sz w:val="20"/>
          <w:szCs w:val="20"/>
        </w:rPr>
        <w:lastRenderedPageBreak/>
        <w:t>2) несоответствие ценового предложения установленным требованиям закупочной документации и/или технической спецификации (в том числе после предоставления обновленного, но не исправленного по технической части, либо его непредоставления в течение предложенного Обществом времени на исправление технической части);</w:t>
      </w:r>
      <w:r w:rsidRPr="0094448B">
        <w:rPr>
          <w:sz w:val="20"/>
          <w:szCs w:val="20"/>
        </w:rPr>
        <w:br/>
        <w:t>3) ценовое предложение превышает предельную стоимость, установленную в плане закупок Общества;</w:t>
      </w:r>
      <w:r w:rsidRPr="0094448B">
        <w:rPr>
          <w:sz w:val="20"/>
          <w:szCs w:val="20"/>
        </w:rPr>
        <w:br/>
        <w:t>4) нарушение установленного в объявлении о закупке требования по предоставлению ценового предложения, требуемых документов или нарушение сроков подачи;</w:t>
      </w:r>
      <w:r w:rsidRPr="0094448B">
        <w:rPr>
          <w:sz w:val="20"/>
          <w:szCs w:val="20"/>
        </w:rPr>
        <w:br/>
        <w:t>5) выявление аффилированности учредителя/участника (акционеров, владеющих более 10% акций потенциального поставщика) и (или) первого руководителя потенциального поставщика с членами Комиссии, Секретарем, первым руководителем Общества либо иными работниками Общества, участвующими в процессе закупки;</w:t>
      </w:r>
    </w:p>
    <w:p w14:paraId="5CDFE18D" w14:textId="77777777" w:rsidR="0094448B" w:rsidRPr="0094448B" w:rsidRDefault="0094448B" w:rsidP="0094448B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  <w:r w:rsidRPr="0094448B">
        <w:rPr>
          <w:sz w:val="20"/>
          <w:szCs w:val="20"/>
        </w:rPr>
        <w:t>6) непредоставление потенциальным поставщиком паролей к технической и ценовой частям в установленный срок;</w:t>
      </w:r>
      <w:r w:rsidRPr="0094448B">
        <w:rPr>
          <w:sz w:val="20"/>
          <w:szCs w:val="20"/>
        </w:rPr>
        <w:br/>
        <w:t>7) если потенциальный поставщик состоит:</w:t>
      </w:r>
      <w:r w:rsidRPr="0094448B">
        <w:rPr>
          <w:sz w:val="20"/>
          <w:szCs w:val="20"/>
        </w:rPr>
        <w:br/>
        <w:t>˗ в реестре недобросовестных участников государственных закупок;</w:t>
      </w:r>
      <w:r w:rsidRPr="0094448B">
        <w:rPr>
          <w:sz w:val="20"/>
          <w:szCs w:val="20"/>
        </w:rPr>
        <w:br/>
        <w:t>˗ в реестре недобросовестных участников закупок Фонда;</w:t>
      </w:r>
      <w:r w:rsidRPr="0094448B">
        <w:rPr>
          <w:sz w:val="20"/>
          <w:szCs w:val="20"/>
        </w:rPr>
        <w:br/>
        <w:t>˗ в перечне ненадежных потенциальных поставщиков (поставщиков) Фонда;</w:t>
      </w:r>
      <w:r w:rsidRPr="0094448B">
        <w:rPr>
          <w:sz w:val="20"/>
          <w:szCs w:val="20"/>
        </w:rPr>
        <w:br/>
        <w:t>˗ в списке должников, в отношении которых вступило в законную силу решение суда о признании их банкротами.</w:t>
      </w:r>
    </w:p>
    <w:p w14:paraId="13DCB5BE" w14:textId="3B581CE1" w:rsidR="0094448B" w:rsidRDefault="00530BBD" w:rsidP="00530BBD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  <w:r w:rsidRPr="00530BBD">
        <w:rPr>
          <w:sz w:val="20"/>
          <w:szCs w:val="20"/>
        </w:rPr>
        <w:t>8) в случае снижения – более 10 (десяти) процентов ниже суммы, предусмотренной для выбора поставщика без учета НДС, по каждому году.</w:t>
      </w:r>
    </w:p>
    <w:p w14:paraId="3E58AF91" w14:textId="77777777" w:rsidR="00530BBD" w:rsidRPr="00530BBD" w:rsidRDefault="00530BBD" w:rsidP="00530BBD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</w:p>
    <w:p w14:paraId="1534F37F" w14:textId="77777777" w:rsidR="0094448B" w:rsidRPr="0094448B" w:rsidRDefault="0094448B" w:rsidP="0094448B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  <w:r w:rsidRPr="0094448B">
        <w:rPr>
          <w:sz w:val="20"/>
          <w:szCs w:val="20"/>
        </w:rPr>
        <w:t>13. Основания для признания закупки несостоявшейся</w:t>
      </w:r>
      <w:r w:rsidRPr="0094448B">
        <w:rPr>
          <w:sz w:val="20"/>
          <w:szCs w:val="20"/>
        </w:rPr>
        <w:br/>
        <w:t>Закупка признается несостоявшейся в следующих случаях:</w:t>
      </w:r>
      <w:r w:rsidRPr="0094448B">
        <w:rPr>
          <w:sz w:val="20"/>
          <w:szCs w:val="20"/>
        </w:rPr>
        <w:br/>
        <w:t>1) отсутствие полученных ценовых предложений;</w:t>
      </w:r>
      <w:r w:rsidRPr="0094448B">
        <w:rPr>
          <w:sz w:val="20"/>
          <w:szCs w:val="20"/>
        </w:rPr>
        <w:br/>
        <w:t>2) все представленные ценовые предложения отклонены по результатам рассмотрения технической и/или ценовой части;</w:t>
      </w:r>
      <w:r w:rsidRPr="0094448B">
        <w:rPr>
          <w:sz w:val="20"/>
          <w:szCs w:val="20"/>
        </w:rPr>
        <w:br/>
        <w:t>3) победитель отказался от заключения договора по итогам проведенной процедуры;</w:t>
      </w:r>
      <w:r w:rsidRPr="0094448B">
        <w:rPr>
          <w:sz w:val="20"/>
          <w:szCs w:val="20"/>
        </w:rPr>
        <w:br/>
        <w:t>4) если до заключения договора победитель был включен:</w:t>
      </w:r>
      <w:r w:rsidRPr="0094448B">
        <w:rPr>
          <w:sz w:val="20"/>
          <w:szCs w:val="20"/>
        </w:rPr>
        <w:br/>
        <w:t>˗ в реестр недобросовестных участников государственных закупок;</w:t>
      </w:r>
      <w:r w:rsidRPr="0094448B">
        <w:rPr>
          <w:sz w:val="20"/>
          <w:szCs w:val="20"/>
        </w:rPr>
        <w:br/>
        <w:t>˗ в реестр недобросовестных участников закупок Фонда;</w:t>
      </w:r>
      <w:r w:rsidRPr="0094448B">
        <w:rPr>
          <w:sz w:val="20"/>
          <w:szCs w:val="20"/>
        </w:rPr>
        <w:br/>
        <w:t>˗ в перечень ненадежных потенциальных поставщиков (поставщиков)</w:t>
      </w:r>
      <w:r w:rsidRPr="0094448B">
        <w:rPr>
          <w:sz w:val="20"/>
          <w:szCs w:val="20"/>
        </w:rPr>
        <w:br/>
        <w:t>Фонда;</w:t>
      </w:r>
      <w:r w:rsidRPr="0094448B">
        <w:rPr>
          <w:sz w:val="20"/>
          <w:szCs w:val="20"/>
        </w:rPr>
        <w:br/>
        <w:t>˗ в список должников, в отношении которых вступило в законную силу решение суда о признании их банкротами.</w:t>
      </w:r>
    </w:p>
    <w:p w14:paraId="2B6E0ED4" w14:textId="77777777" w:rsidR="0094448B" w:rsidRPr="0094448B" w:rsidRDefault="0094448B" w:rsidP="0094448B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</w:p>
    <w:p w14:paraId="383B9DA1" w14:textId="77777777" w:rsidR="0094448B" w:rsidRDefault="0094448B" w:rsidP="0094448B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  <w:r w:rsidRPr="0094448B">
        <w:rPr>
          <w:sz w:val="20"/>
          <w:szCs w:val="20"/>
        </w:rPr>
        <w:t>14 Заключение договора</w:t>
      </w:r>
      <w:r w:rsidRPr="0094448B">
        <w:rPr>
          <w:sz w:val="20"/>
          <w:szCs w:val="20"/>
        </w:rPr>
        <w:br/>
        <w:t>Договор о закупках ТРУ подлежит согласованию и подписанию с соблюдением требований Порядка и внутренних документов Общества, регулирующих процедуру заключения договора.</w:t>
      </w:r>
      <w:r w:rsidRPr="001C77F1">
        <w:rPr>
          <w:sz w:val="20"/>
          <w:szCs w:val="20"/>
        </w:rPr>
        <w:br/>
      </w:r>
    </w:p>
    <w:p w14:paraId="103048AB" w14:textId="77777777" w:rsidR="00655F8E" w:rsidRDefault="00655F8E" w:rsidP="00E54DCF">
      <w:pPr>
        <w:pStyle w:val="a5"/>
        <w:tabs>
          <w:tab w:val="left" w:pos="993"/>
        </w:tabs>
        <w:spacing w:before="4"/>
        <w:ind w:left="993" w:firstLine="0"/>
        <w:rPr>
          <w:sz w:val="20"/>
          <w:szCs w:val="20"/>
        </w:rPr>
      </w:pPr>
    </w:p>
    <w:p w14:paraId="27606EF0" w14:textId="77777777" w:rsidR="00CC4B95" w:rsidRPr="00BB648C" w:rsidRDefault="005060E7" w:rsidP="00F07F2F">
      <w:pPr>
        <w:pStyle w:val="a5"/>
        <w:tabs>
          <w:tab w:val="left" w:pos="910"/>
        </w:tabs>
        <w:ind w:firstLine="0"/>
        <w:rPr>
          <w:sz w:val="24"/>
          <w:szCs w:val="24"/>
        </w:rPr>
      </w:pPr>
      <w:r w:rsidRPr="00F07F2F">
        <w:rPr>
          <w:sz w:val="24"/>
          <w:szCs w:val="24"/>
        </w:rPr>
        <w:t xml:space="preserve">Окончательный срок представления </w:t>
      </w:r>
      <w:r w:rsidR="00F07F2F" w:rsidRPr="00F07F2F">
        <w:rPr>
          <w:sz w:val="24"/>
          <w:szCs w:val="24"/>
        </w:rPr>
        <w:t>ценовых предложений</w:t>
      </w:r>
      <w:r w:rsidRPr="00BB648C">
        <w:rPr>
          <w:sz w:val="24"/>
          <w:szCs w:val="24"/>
        </w:rPr>
        <w:t xml:space="preserve"> </w:t>
      </w:r>
      <w:r w:rsidR="00BB648C" w:rsidRPr="00BB648C">
        <w:rPr>
          <w:b/>
          <w:sz w:val="24"/>
          <w:szCs w:val="24"/>
        </w:rPr>
        <w:t>24</w:t>
      </w:r>
      <w:r w:rsidRPr="00BB648C">
        <w:rPr>
          <w:b/>
          <w:sz w:val="24"/>
          <w:szCs w:val="24"/>
        </w:rPr>
        <w:t>.12.20</w:t>
      </w:r>
      <w:r w:rsidR="00F07F2F" w:rsidRPr="00BB648C">
        <w:rPr>
          <w:b/>
          <w:sz w:val="24"/>
          <w:szCs w:val="24"/>
        </w:rPr>
        <w:t>25</w:t>
      </w:r>
      <w:r w:rsidRPr="00BB648C">
        <w:rPr>
          <w:b/>
          <w:sz w:val="24"/>
          <w:szCs w:val="24"/>
        </w:rPr>
        <w:t xml:space="preserve"> 1</w:t>
      </w:r>
      <w:r w:rsidR="00F07F2F" w:rsidRPr="00BB648C">
        <w:rPr>
          <w:b/>
          <w:sz w:val="24"/>
          <w:szCs w:val="24"/>
        </w:rPr>
        <w:t>1</w:t>
      </w:r>
      <w:r w:rsidRPr="00BB648C">
        <w:rPr>
          <w:b/>
          <w:sz w:val="24"/>
          <w:szCs w:val="24"/>
        </w:rPr>
        <w:t>:00</w:t>
      </w:r>
    </w:p>
    <w:p w14:paraId="398CA41C" w14:textId="77777777" w:rsidR="00CC4B95" w:rsidRPr="00F07F2F" w:rsidRDefault="00CC4B95">
      <w:pPr>
        <w:pStyle w:val="a5"/>
        <w:rPr>
          <w:sz w:val="20"/>
          <w:szCs w:val="20"/>
        </w:rPr>
      </w:pPr>
    </w:p>
    <w:p w14:paraId="6380A57B" w14:textId="77777777" w:rsidR="00F07F2F" w:rsidRPr="00F07F2F" w:rsidRDefault="00F07F2F">
      <w:pPr>
        <w:pStyle w:val="a5"/>
        <w:rPr>
          <w:sz w:val="20"/>
          <w:szCs w:val="20"/>
        </w:rPr>
      </w:pPr>
    </w:p>
    <w:p w14:paraId="59593B52" w14:textId="77777777" w:rsidR="00F07F2F" w:rsidRPr="00F07F2F" w:rsidRDefault="00F07F2F">
      <w:pPr>
        <w:pStyle w:val="a5"/>
        <w:rPr>
          <w:sz w:val="20"/>
          <w:szCs w:val="20"/>
        </w:rPr>
      </w:pPr>
      <w:r w:rsidRPr="00F07F2F">
        <w:rPr>
          <w:sz w:val="20"/>
          <w:szCs w:val="20"/>
        </w:rPr>
        <w:t>Приложения:</w:t>
      </w:r>
    </w:p>
    <w:p w14:paraId="4F45983F" w14:textId="77777777" w:rsidR="00F07F2F" w:rsidRPr="00F07F2F" w:rsidRDefault="00F07F2F" w:rsidP="00F07F2F">
      <w:pPr>
        <w:pStyle w:val="a5"/>
        <w:widowControl/>
        <w:numPr>
          <w:ilvl w:val="0"/>
          <w:numId w:val="6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0"/>
          <w:szCs w:val="20"/>
        </w:rPr>
      </w:pPr>
      <w:r w:rsidRPr="00F07F2F">
        <w:rPr>
          <w:sz w:val="20"/>
          <w:szCs w:val="20"/>
        </w:rPr>
        <w:t>форма ценового предложения (Приложение №1);</w:t>
      </w:r>
    </w:p>
    <w:p w14:paraId="3BEE9276" w14:textId="77777777" w:rsidR="00F07F2F" w:rsidRPr="00F07F2F" w:rsidRDefault="00F07F2F" w:rsidP="00F07F2F">
      <w:pPr>
        <w:pStyle w:val="a5"/>
        <w:widowControl/>
        <w:numPr>
          <w:ilvl w:val="0"/>
          <w:numId w:val="6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0"/>
          <w:szCs w:val="20"/>
        </w:rPr>
      </w:pPr>
      <w:r w:rsidRPr="00F07F2F">
        <w:rPr>
          <w:sz w:val="20"/>
          <w:szCs w:val="20"/>
        </w:rPr>
        <w:t>техническая спецификация закупаемых ТРУ</w:t>
      </w:r>
      <w:r w:rsidR="000B2550">
        <w:rPr>
          <w:sz w:val="20"/>
          <w:szCs w:val="20"/>
        </w:rPr>
        <w:t xml:space="preserve"> (</w:t>
      </w:r>
      <w:r w:rsidR="000B2550" w:rsidRPr="00F07F2F">
        <w:rPr>
          <w:sz w:val="20"/>
          <w:szCs w:val="20"/>
        </w:rPr>
        <w:t>Приложение №</w:t>
      </w:r>
      <w:r w:rsidR="000B2550">
        <w:rPr>
          <w:sz w:val="20"/>
          <w:szCs w:val="20"/>
        </w:rPr>
        <w:t>2</w:t>
      </w:r>
      <w:r w:rsidR="002F6B8F">
        <w:rPr>
          <w:sz w:val="20"/>
          <w:szCs w:val="20"/>
        </w:rPr>
        <w:t xml:space="preserve"> к договору)</w:t>
      </w:r>
      <w:r w:rsidRPr="00F07F2F">
        <w:rPr>
          <w:sz w:val="20"/>
          <w:szCs w:val="20"/>
        </w:rPr>
        <w:t>;</w:t>
      </w:r>
    </w:p>
    <w:p w14:paraId="4A759015" w14:textId="77777777" w:rsidR="00C72DFD" w:rsidRDefault="00C72DFD" w:rsidP="00F07F2F">
      <w:pPr>
        <w:pStyle w:val="a5"/>
        <w:widowControl/>
        <w:numPr>
          <w:ilvl w:val="0"/>
          <w:numId w:val="6"/>
        </w:numPr>
        <w:tabs>
          <w:tab w:val="left" w:pos="1134"/>
        </w:tabs>
        <w:autoSpaceDE/>
        <w:autoSpaceDN/>
        <w:ind w:left="0" w:firstLine="709"/>
        <w:contextualSpacing/>
        <w:rPr>
          <w:sz w:val="20"/>
          <w:szCs w:val="20"/>
        </w:rPr>
      </w:pPr>
      <w:r w:rsidRPr="00F07F2F">
        <w:rPr>
          <w:sz w:val="20"/>
          <w:szCs w:val="20"/>
        </w:rPr>
        <w:t>проект договора о закупке ТРУ</w:t>
      </w:r>
      <w:r w:rsidR="002F6B8F">
        <w:rPr>
          <w:sz w:val="20"/>
          <w:szCs w:val="20"/>
        </w:rPr>
        <w:t xml:space="preserve"> (Приложение №2 к объявлению)</w:t>
      </w:r>
      <w:r w:rsidR="000A5779">
        <w:rPr>
          <w:sz w:val="20"/>
          <w:szCs w:val="20"/>
        </w:rPr>
        <w:t>;</w:t>
      </w:r>
    </w:p>
    <w:p w14:paraId="1B255FF4" w14:textId="77777777" w:rsidR="00F07F2F" w:rsidRDefault="00C72DFD" w:rsidP="00F07F2F">
      <w:pPr>
        <w:pStyle w:val="a5"/>
        <w:widowControl/>
        <w:numPr>
          <w:ilvl w:val="0"/>
          <w:numId w:val="6"/>
        </w:numPr>
        <w:tabs>
          <w:tab w:val="left" w:pos="1134"/>
        </w:tabs>
        <w:autoSpaceDE/>
        <w:autoSpaceDN/>
        <w:ind w:left="0" w:firstLine="709"/>
        <w:contextualSpacing/>
        <w:rPr>
          <w:sz w:val="20"/>
          <w:szCs w:val="20"/>
        </w:rPr>
      </w:pPr>
      <w:r w:rsidRPr="00A6786A">
        <w:rPr>
          <w:sz w:val="20"/>
          <w:szCs w:val="20"/>
        </w:rPr>
        <w:t>приложение №</w:t>
      </w:r>
      <w:r w:rsidR="002F6B8F">
        <w:rPr>
          <w:sz w:val="20"/>
          <w:szCs w:val="20"/>
        </w:rPr>
        <w:t>3</w:t>
      </w:r>
      <w:r w:rsidRPr="00A6786A">
        <w:rPr>
          <w:sz w:val="20"/>
          <w:szCs w:val="20"/>
        </w:rPr>
        <w:t xml:space="preserve"> к объявлению</w:t>
      </w:r>
      <w:r w:rsidR="000A5779">
        <w:rPr>
          <w:sz w:val="20"/>
          <w:szCs w:val="20"/>
        </w:rPr>
        <w:t>.</w:t>
      </w:r>
    </w:p>
    <w:p w14:paraId="03DEE3D1" w14:textId="77777777" w:rsidR="00C72DFD" w:rsidRPr="00C72DFD" w:rsidRDefault="00C72DFD" w:rsidP="00C72DFD">
      <w:pPr>
        <w:widowControl/>
        <w:tabs>
          <w:tab w:val="left" w:pos="1134"/>
        </w:tabs>
        <w:autoSpaceDE/>
        <w:autoSpaceDN/>
        <w:contextualSpacing/>
        <w:rPr>
          <w:sz w:val="20"/>
          <w:szCs w:val="20"/>
        </w:rPr>
        <w:sectPr w:rsidR="00C72DFD" w:rsidRPr="00C72DFD">
          <w:type w:val="continuous"/>
          <w:pgSz w:w="16840" w:h="11910" w:orient="landscape"/>
          <w:pgMar w:top="820" w:right="566" w:bottom="280" w:left="566" w:header="720" w:footer="720" w:gutter="0"/>
          <w:cols w:space="720"/>
        </w:sectPr>
      </w:pPr>
    </w:p>
    <w:p w14:paraId="18D68A0B" w14:textId="77777777" w:rsidR="00CC4B95" w:rsidRDefault="00CC4B95" w:rsidP="00F07F2F">
      <w:pPr>
        <w:rPr>
          <w:b/>
          <w:sz w:val="20"/>
        </w:rPr>
      </w:pPr>
    </w:p>
    <w:sectPr w:rsidR="00CC4B95">
      <w:pgSz w:w="16840" w:h="11910" w:orient="landscape"/>
      <w:pgMar w:top="880" w:right="566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1555F"/>
    <w:multiLevelType w:val="multilevel"/>
    <w:tmpl w:val="35E03E00"/>
    <w:numStyleLink w:val="4"/>
  </w:abstractNum>
  <w:abstractNum w:abstractNumId="1" w15:restartNumberingAfterBreak="0">
    <w:nsid w:val="1DEB08EA"/>
    <w:multiLevelType w:val="hybridMultilevel"/>
    <w:tmpl w:val="2D800496"/>
    <w:lvl w:ilvl="0" w:tplc="20000011">
      <w:start w:val="1"/>
      <w:numFmt w:val="decimal"/>
      <w:lvlText w:val="%1)"/>
      <w:lvlJc w:val="left"/>
      <w:pPr>
        <w:ind w:left="1429" w:hanging="360"/>
      </w:p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57E0A5F"/>
    <w:multiLevelType w:val="hybridMultilevel"/>
    <w:tmpl w:val="36F84B26"/>
    <w:lvl w:ilvl="0" w:tplc="682A9376">
      <w:start w:val="1"/>
      <w:numFmt w:val="decimal"/>
      <w:suff w:val="space"/>
      <w:lvlText w:val="%1."/>
      <w:lvlJc w:val="left"/>
      <w:pPr>
        <w:ind w:left="5812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252" w:hanging="360"/>
      </w:pPr>
    </w:lvl>
    <w:lvl w:ilvl="2" w:tplc="0422001B" w:tentative="1">
      <w:start w:val="1"/>
      <w:numFmt w:val="lowerRoman"/>
      <w:lvlText w:val="%3."/>
      <w:lvlJc w:val="right"/>
      <w:pPr>
        <w:ind w:left="7972" w:hanging="180"/>
      </w:pPr>
    </w:lvl>
    <w:lvl w:ilvl="3" w:tplc="0422000F" w:tentative="1">
      <w:start w:val="1"/>
      <w:numFmt w:val="decimal"/>
      <w:lvlText w:val="%4."/>
      <w:lvlJc w:val="left"/>
      <w:pPr>
        <w:ind w:left="8692" w:hanging="360"/>
      </w:pPr>
    </w:lvl>
    <w:lvl w:ilvl="4" w:tplc="04220019" w:tentative="1">
      <w:start w:val="1"/>
      <w:numFmt w:val="lowerLetter"/>
      <w:lvlText w:val="%5."/>
      <w:lvlJc w:val="left"/>
      <w:pPr>
        <w:ind w:left="9412" w:hanging="360"/>
      </w:pPr>
    </w:lvl>
    <w:lvl w:ilvl="5" w:tplc="0422001B" w:tentative="1">
      <w:start w:val="1"/>
      <w:numFmt w:val="lowerRoman"/>
      <w:lvlText w:val="%6."/>
      <w:lvlJc w:val="right"/>
      <w:pPr>
        <w:ind w:left="10132" w:hanging="180"/>
      </w:pPr>
    </w:lvl>
    <w:lvl w:ilvl="6" w:tplc="0422000F" w:tentative="1">
      <w:start w:val="1"/>
      <w:numFmt w:val="decimal"/>
      <w:lvlText w:val="%7."/>
      <w:lvlJc w:val="left"/>
      <w:pPr>
        <w:ind w:left="10852" w:hanging="360"/>
      </w:pPr>
    </w:lvl>
    <w:lvl w:ilvl="7" w:tplc="04220019" w:tentative="1">
      <w:start w:val="1"/>
      <w:numFmt w:val="lowerLetter"/>
      <w:lvlText w:val="%8."/>
      <w:lvlJc w:val="left"/>
      <w:pPr>
        <w:ind w:left="11572" w:hanging="360"/>
      </w:pPr>
    </w:lvl>
    <w:lvl w:ilvl="8" w:tplc="0422001B" w:tentative="1">
      <w:start w:val="1"/>
      <w:numFmt w:val="lowerRoman"/>
      <w:lvlText w:val="%9."/>
      <w:lvlJc w:val="right"/>
      <w:pPr>
        <w:ind w:left="12292" w:hanging="180"/>
      </w:pPr>
    </w:lvl>
  </w:abstractNum>
  <w:abstractNum w:abstractNumId="3" w15:restartNumberingAfterBreak="0">
    <w:nsid w:val="2C4D4233"/>
    <w:multiLevelType w:val="multilevel"/>
    <w:tmpl w:val="B31E18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506B2A"/>
    <w:multiLevelType w:val="multilevel"/>
    <w:tmpl w:val="71DA314C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  <w:b/>
        <w:sz w:val="24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4C937380"/>
    <w:multiLevelType w:val="multilevel"/>
    <w:tmpl w:val="35E03E00"/>
    <w:styleLink w:val="4"/>
    <w:lvl w:ilvl="0">
      <w:start w:val="1"/>
      <w:numFmt w:val="decimal"/>
      <w:pStyle w:val="31"/>
      <w:suff w:val="space"/>
      <w:lvlText w:val="Статья %1."/>
      <w:lvlJc w:val="left"/>
      <w:pPr>
        <w:ind w:left="928" w:hanging="360"/>
      </w:pPr>
      <w:rPr>
        <w:rFonts w:ascii="Arial" w:hAnsi="Arial" w:hint="default"/>
        <w:b/>
        <w:i w:val="0"/>
        <w:cap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CEE0A64"/>
    <w:multiLevelType w:val="hybridMultilevel"/>
    <w:tmpl w:val="A1C0E374"/>
    <w:lvl w:ilvl="0" w:tplc="9D62550E">
      <w:start w:val="1"/>
      <w:numFmt w:val="decimal"/>
      <w:lvlText w:val="%1."/>
      <w:lvlJc w:val="left"/>
      <w:pPr>
        <w:ind w:left="7421" w:hanging="2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6DB4FF4A">
      <w:numFmt w:val="bullet"/>
      <w:lvlText w:val="-"/>
      <w:lvlJc w:val="left"/>
      <w:pPr>
        <w:ind w:left="1559" w:hanging="1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 w:tplc="5142C3F2">
      <w:numFmt w:val="bullet"/>
      <w:lvlText w:val="•"/>
      <w:lvlJc w:val="left"/>
      <w:pPr>
        <w:ind w:left="8340" w:hanging="117"/>
      </w:pPr>
      <w:rPr>
        <w:rFonts w:hint="default"/>
        <w:lang w:val="ru-RU" w:eastAsia="en-US" w:bidi="ar-SA"/>
      </w:rPr>
    </w:lvl>
    <w:lvl w:ilvl="3" w:tplc="9DD8CFD0">
      <w:numFmt w:val="bullet"/>
      <w:lvlText w:val="•"/>
      <w:lvlJc w:val="left"/>
      <w:pPr>
        <w:ind w:left="9261" w:hanging="117"/>
      </w:pPr>
      <w:rPr>
        <w:rFonts w:hint="default"/>
        <w:lang w:val="ru-RU" w:eastAsia="en-US" w:bidi="ar-SA"/>
      </w:rPr>
    </w:lvl>
    <w:lvl w:ilvl="4" w:tplc="14C06E4E">
      <w:numFmt w:val="bullet"/>
      <w:lvlText w:val="•"/>
      <w:lvlJc w:val="left"/>
      <w:pPr>
        <w:ind w:left="10182" w:hanging="117"/>
      </w:pPr>
      <w:rPr>
        <w:rFonts w:hint="default"/>
        <w:lang w:val="ru-RU" w:eastAsia="en-US" w:bidi="ar-SA"/>
      </w:rPr>
    </w:lvl>
    <w:lvl w:ilvl="5" w:tplc="3C4CC0DC">
      <w:numFmt w:val="bullet"/>
      <w:lvlText w:val="•"/>
      <w:lvlJc w:val="left"/>
      <w:pPr>
        <w:ind w:left="11102" w:hanging="117"/>
      </w:pPr>
      <w:rPr>
        <w:rFonts w:hint="default"/>
        <w:lang w:val="ru-RU" w:eastAsia="en-US" w:bidi="ar-SA"/>
      </w:rPr>
    </w:lvl>
    <w:lvl w:ilvl="6" w:tplc="725805B0">
      <w:numFmt w:val="bullet"/>
      <w:lvlText w:val="•"/>
      <w:lvlJc w:val="left"/>
      <w:pPr>
        <w:ind w:left="12023" w:hanging="117"/>
      </w:pPr>
      <w:rPr>
        <w:rFonts w:hint="default"/>
        <w:lang w:val="ru-RU" w:eastAsia="en-US" w:bidi="ar-SA"/>
      </w:rPr>
    </w:lvl>
    <w:lvl w:ilvl="7" w:tplc="6EA2BAC4">
      <w:numFmt w:val="bullet"/>
      <w:lvlText w:val="•"/>
      <w:lvlJc w:val="left"/>
      <w:pPr>
        <w:ind w:left="12944" w:hanging="117"/>
      </w:pPr>
      <w:rPr>
        <w:rFonts w:hint="default"/>
        <w:lang w:val="ru-RU" w:eastAsia="en-US" w:bidi="ar-SA"/>
      </w:rPr>
    </w:lvl>
    <w:lvl w:ilvl="8" w:tplc="70909D60">
      <w:numFmt w:val="bullet"/>
      <w:lvlText w:val="•"/>
      <w:lvlJc w:val="left"/>
      <w:pPr>
        <w:ind w:left="13864" w:hanging="117"/>
      </w:pPr>
      <w:rPr>
        <w:rFonts w:hint="default"/>
        <w:lang w:val="ru-RU" w:eastAsia="en-US" w:bidi="ar-SA"/>
      </w:rPr>
    </w:lvl>
  </w:abstractNum>
  <w:abstractNum w:abstractNumId="7" w15:restartNumberingAfterBreak="0">
    <w:nsid w:val="755F070E"/>
    <w:multiLevelType w:val="hybridMultilevel"/>
    <w:tmpl w:val="B65ED7EC"/>
    <w:lvl w:ilvl="0" w:tplc="FEB28B6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0"/>
    <w:lvlOverride w:ilvl="0">
      <w:lvl w:ilvl="0">
        <w:start w:val="1"/>
        <w:numFmt w:val="decimal"/>
        <w:pStyle w:val="31"/>
        <w:suff w:val="space"/>
        <w:lvlText w:val="Статья %1."/>
        <w:lvlJc w:val="left"/>
        <w:pPr>
          <w:ind w:left="928" w:hanging="360"/>
        </w:pPr>
        <w:rPr>
          <w:rFonts w:ascii="Arial" w:hAnsi="Arial" w:hint="default"/>
          <w:b/>
          <w:i w:val="0"/>
          <w:caps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86" w:hanging="360"/>
        </w:pPr>
        <w:rPr>
          <w:rFonts w:hint="default"/>
          <w:i w:val="0"/>
          <w:sz w:val="24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4B95"/>
    <w:rsid w:val="000346CF"/>
    <w:rsid w:val="000A5779"/>
    <w:rsid w:val="000B2550"/>
    <w:rsid w:val="001B78E2"/>
    <w:rsid w:val="001C720F"/>
    <w:rsid w:val="001E1100"/>
    <w:rsid w:val="00284EF3"/>
    <w:rsid w:val="002961DC"/>
    <w:rsid w:val="002F6B8F"/>
    <w:rsid w:val="003301CD"/>
    <w:rsid w:val="0037308F"/>
    <w:rsid w:val="005060E7"/>
    <w:rsid w:val="00530BBD"/>
    <w:rsid w:val="005D3895"/>
    <w:rsid w:val="00655F8E"/>
    <w:rsid w:val="006F3FF1"/>
    <w:rsid w:val="00755EA9"/>
    <w:rsid w:val="00766435"/>
    <w:rsid w:val="00935B9D"/>
    <w:rsid w:val="0094448B"/>
    <w:rsid w:val="009F2C09"/>
    <w:rsid w:val="00A6510E"/>
    <w:rsid w:val="00A6786A"/>
    <w:rsid w:val="00A76912"/>
    <w:rsid w:val="00AC4437"/>
    <w:rsid w:val="00B33A7B"/>
    <w:rsid w:val="00B70DF1"/>
    <w:rsid w:val="00BA5931"/>
    <w:rsid w:val="00BA6FCF"/>
    <w:rsid w:val="00BB648C"/>
    <w:rsid w:val="00C123A4"/>
    <w:rsid w:val="00C72DFD"/>
    <w:rsid w:val="00CC4B95"/>
    <w:rsid w:val="00D03BB8"/>
    <w:rsid w:val="00D7269E"/>
    <w:rsid w:val="00D75B0A"/>
    <w:rsid w:val="00D93F1F"/>
    <w:rsid w:val="00E54DCF"/>
    <w:rsid w:val="00F07F2F"/>
    <w:rsid w:val="00F9081B"/>
    <w:rsid w:val="00FC653B"/>
    <w:rsid w:val="00FD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C8CD8"/>
  <w15:docId w15:val="{9B59F15A-9922-48B3-A065-0B612B74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B70DF1"/>
    <w:pPr>
      <w:keepNext/>
      <w:widowControl/>
      <w:numPr>
        <w:numId w:val="5"/>
      </w:numPr>
      <w:autoSpaceDE/>
      <w:autoSpaceDN/>
      <w:jc w:val="center"/>
      <w:outlineLvl w:val="0"/>
    </w:pPr>
    <w:rPr>
      <w:rFonts w:eastAsiaTheme="minorEastAsia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B70DF1"/>
    <w:pPr>
      <w:keepNext/>
      <w:widowControl/>
      <w:numPr>
        <w:ilvl w:val="1"/>
        <w:numId w:val="5"/>
      </w:numPr>
      <w:autoSpaceDE/>
      <w:autoSpaceDN/>
      <w:spacing w:before="240" w:after="60"/>
      <w:jc w:val="both"/>
      <w:outlineLvl w:val="1"/>
    </w:pPr>
    <w:rPr>
      <w:rFonts w:ascii="Cambria" w:eastAsiaTheme="minorEastAs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70DF1"/>
    <w:pPr>
      <w:keepNext/>
      <w:widowControl/>
      <w:numPr>
        <w:ilvl w:val="2"/>
        <w:numId w:val="5"/>
      </w:numPr>
      <w:autoSpaceDE/>
      <w:autoSpaceDN/>
      <w:spacing w:before="240" w:after="60"/>
      <w:jc w:val="both"/>
      <w:outlineLvl w:val="2"/>
    </w:pPr>
    <w:rPr>
      <w:rFonts w:ascii="Arial" w:eastAsiaTheme="minorEastAsia" w:hAnsi="Arial" w:cs="Arial"/>
      <w:b/>
      <w:bCs/>
      <w:sz w:val="26"/>
      <w:szCs w:val="26"/>
      <w:lang w:eastAsia="ru-RU"/>
    </w:rPr>
  </w:style>
  <w:style w:type="paragraph" w:styleId="40">
    <w:name w:val="heading 4"/>
    <w:basedOn w:val="a"/>
    <w:next w:val="a"/>
    <w:link w:val="41"/>
    <w:qFormat/>
    <w:rsid w:val="00B70DF1"/>
    <w:pPr>
      <w:keepNext/>
      <w:widowControl/>
      <w:numPr>
        <w:ilvl w:val="3"/>
        <w:numId w:val="5"/>
      </w:numPr>
      <w:autoSpaceDE/>
      <w:autoSpaceDN/>
      <w:spacing w:before="240" w:after="60"/>
      <w:jc w:val="both"/>
      <w:outlineLvl w:val="3"/>
    </w:pPr>
    <w:rPr>
      <w:rFonts w:eastAsiaTheme="minorEastAsia"/>
      <w:b/>
      <w:bCs/>
      <w:sz w:val="28"/>
      <w:szCs w:val="28"/>
      <w:lang w:val="en-US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B70DF1"/>
    <w:pPr>
      <w:keepNext/>
      <w:keepLines/>
      <w:widowControl/>
      <w:numPr>
        <w:ilvl w:val="4"/>
        <w:numId w:val="5"/>
      </w:numPr>
      <w:autoSpaceDE/>
      <w:autoSpaceDN/>
      <w:spacing w:before="20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ru-RU"/>
    </w:rPr>
  </w:style>
  <w:style w:type="paragraph" w:styleId="6">
    <w:name w:val="heading 6"/>
    <w:basedOn w:val="a"/>
    <w:next w:val="a"/>
    <w:link w:val="60"/>
    <w:qFormat/>
    <w:rsid w:val="00B70DF1"/>
    <w:pPr>
      <w:widowControl/>
      <w:numPr>
        <w:ilvl w:val="5"/>
        <w:numId w:val="5"/>
      </w:numPr>
      <w:autoSpaceDE/>
      <w:autoSpaceDN/>
      <w:spacing w:before="240" w:after="60"/>
      <w:jc w:val="both"/>
      <w:outlineLvl w:val="5"/>
    </w:pPr>
    <w:rPr>
      <w:rFonts w:eastAsiaTheme="minorEastAsia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B70DF1"/>
    <w:pPr>
      <w:keepNext/>
      <w:keepLines/>
      <w:widowControl/>
      <w:numPr>
        <w:ilvl w:val="6"/>
        <w:numId w:val="5"/>
      </w:numPr>
      <w:autoSpaceDE/>
      <w:autoSpaceDN/>
      <w:spacing w:before="20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ru-RU"/>
    </w:rPr>
  </w:style>
  <w:style w:type="paragraph" w:styleId="8">
    <w:name w:val="heading 8"/>
    <w:basedOn w:val="a"/>
    <w:next w:val="a"/>
    <w:link w:val="80"/>
    <w:qFormat/>
    <w:rsid w:val="00B70DF1"/>
    <w:pPr>
      <w:widowControl/>
      <w:numPr>
        <w:ilvl w:val="7"/>
        <w:numId w:val="5"/>
      </w:numPr>
      <w:autoSpaceDE/>
      <w:autoSpaceDN/>
      <w:spacing w:before="240" w:after="60"/>
      <w:jc w:val="both"/>
      <w:outlineLvl w:val="7"/>
    </w:pPr>
    <w:rPr>
      <w:rFonts w:ascii="Calibri" w:eastAsiaTheme="minorEastAsia" w:hAnsi="Calibri"/>
      <w:i/>
      <w:iCs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B70DF1"/>
    <w:pPr>
      <w:keepNext/>
      <w:keepLines/>
      <w:widowControl/>
      <w:numPr>
        <w:ilvl w:val="8"/>
        <w:numId w:val="5"/>
      </w:numPr>
      <w:autoSpaceDE/>
      <w:autoSpaceDN/>
      <w:spacing w:before="20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0"/>
    <w:qFormat/>
    <w:pPr>
      <w:spacing w:before="76"/>
      <w:ind w:left="5443" w:right="3098" w:hanging="876"/>
    </w:pPr>
    <w:rPr>
      <w:b/>
      <w:bCs/>
      <w:sz w:val="24"/>
      <w:szCs w:val="24"/>
    </w:rPr>
  </w:style>
  <w:style w:type="paragraph" w:styleId="a5">
    <w:name w:val="List Paragraph"/>
    <w:aliases w:val="A_маркированный_список,List Paragraph"/>
    <w:basedOn w:val="a"/>
    <w:link w:val="a6"/>
    <w:uiPriority w:val="34"/>
    <w:qFormat/>
    <w:pPr>
      <w:ind w:left="910" w:hanging="20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fontstyle01">
    <w:name w:val="fontstyle01"/>
    <w:basedOn w:val="a0"/>
    <w:rsid w:val="00766435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766435"/>
    <w:rPr>
      <w:rFonts w:ascii="TimesNewRomanPS-BoldMT" w:hAnsi="TimesNewRomanPS-BoldMT" w:hint="default"/>
      <w:b/>
      <w:bCs/>
      <w:i w:val="0"/>
      <w:iCs w:val="0"/>
      <w:color w:val="000000"/>
      <w:sz w:val="18"/>
      <w:szCs w:val="18"/>
    </w:rPr>
  </w:style>
  <w:style w:type="character" w:customStyle="1" w:styleId="a6">
    <w:name w:val="Абзац списка Знак"/>
    <w:aliases w:val="A_маркированный_список Знак,List Paragraph Знак"/>
    <w:link w:val="a5"/>
    <w:uiPriority w:val="34"/>
    <w:locked/>
    <w:rsid w:val="00284EF3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70DF1"/>
    <w:rPr>
      <w:rFonts w:ascii="Times New Roman" w:eastAsiaTheme="minorEastAsia" w:hAnsi="Times New Roman" w:cs="Times New Roman"/>
      <w:b/>
      <w:bCs/>
      <w:sz w:val="20"/>
      <w:szCs w:val="20"/>
      <w:lang w:val="ru-RU"/>
    </w:rPr>
  </w:style>
  <w:style w:type="character" w:customStyle="1" w:styleId="20">
    <w:name w:val="Заголовок 2 Знак"/>
    <w:basedOn w:val="a0"/>
    <w:link w:val="2"/>
    <w:rsid w:val="00B70DF1"/>
    <w:rPr>
      <w:rFonts w:ascii="Cambria" w:eastAsiaTheme="minorEastAsia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rsid w:val="00B70DF1"/>
    <w:rPr>
      <w:rFonts w:ascii="Arial" w:eastAsiaTheme="minorEastAsia" w:hAnsi="Arial" w:cs="Arial"/>
      <w:b/>
      <w:bCs/>
      <w:sz w:val="26"/>
      <w:szCs w:val="26"/>
      <w:lang w:val="ru-RU" w:eastAsia="ru-RU"/>
    </w:rPr>
  </w:style>
  <w:style w:type="character" w:customStyle="1" w:styleId="41">
    <w:name w:val="Заголовок 4 Знак"/>
    <w:basedOn w:val="a0"/>
    <w:link w:val="40"/>
    <w:rsid w:val="00B70DF1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B70DF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70DF1"/>
    <w:rPr>
      <w:rFonts w:ascii="Times New Roman" w:eastAsiaTheme="minorEastAsia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B70DF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70DF1"/>
    <w:rPr>
      <w:rFonts w:ascii="Calibri" w:eastAsiaTheme="minorEastAsia" w:hAnsi="Calibri" w:cs="Times New Roman"/>
      <w:i/>
      <w:iCs/>
      <w:sz w:val="20"/>
      <w:szCs w:val="20"/>
      <w:lang w:val="ru-RU"/>
    </w:rPr>
  </w:style>
  <w:style w:type="character" w:customStyle="1" w:styleId="90">
    <w:name w:val="Заголовок 9 Знак"/>
    <w:basedOn w:val="a0"/>
    <w:link w:val="9"/>
    <w:semiHidden/>
    <w:rsid w:val="00B70D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">
    <w:name w:val="Заголовок СК 1"/>
    <w:basedOn w:val="1"/>
    <w:next w:val="a3"/>
    <w:autoRedefine/>
    <w:rsid w:val="00B70DF1"/>
    <w:pPr>
      <w:keepNext w:val="0"/>
      <w:suppressAutoHyphens/>
      <w:spacing w:after="60"/>
      <w:ind w:left="5812" w:firstLine="709"/>
      <w:jc w:val="left"/>
    </w:pPr>
    <w:rPr>
      <w:bCs w:val="0"/>
      <w:kern w:val="28"/>
      <w:sz w:val="24"/>
      <w:lang w:val="x-none" w:eastAsia="x-none"/>
    </w:rPr>
  </w:style>
  <w:style w:type="paragraph" w:customStyle="1" w:styleId="31">
    <w:name w:val="3 Статья 1."/>
    <w:basedOn w:val="a"/>
    <w:link w:val="310"/>
    <w:qFormat/>
    <w:rsid w:val="00BA6FCF"/>
    <w:pPr>
      <w:numPr>
        <w:numId w:val="8"/>
      </w:numPr>
      <w:shd w:val="clear" w:color="auto" w:fill="FFFFFF"/>
      <w:tabs>
        <w:tab w:val="left" w:pos="567"/>
      </w:tabs>
      <w:adjustRightInd w:val="0"/>
      <w:spacing w:before="120" w:after="120"/>
      <w:jc w:val="center"/>
      <w:outlineLvl w:val="2"/>
    </w:pPr>
    <w:rPr>
      <w:rFonts w:ascii="Arial" w:eastAsia="Calibri" w:hAnsi="Arial"/>
      <w:b/>
      <w:color w:val="000000"/>
      <w:sz w:val="24"/>
      <w:szCs w:val="24"/>
      <w:lang w:val="x-none" w:eastAsia="x-none"/>
    </w:rPr>
  </w:style>
  <w:style w:type="numbering" w:customStyle="1" w:styleId="4">
    <w:name w:val="Стиль4"/>
    <w:uiPriority w:val="99"/>
    <w:rsid w:val="00BA6FCF"/>
    <w:pPr>
      <w:numPr>
        <w:numId w:val="7"/>
      </w:numPr>
    </w:pPr>
  </w:style>
  <w:style w:type="character" w:customStyle="1" w:styleId="310">
    <w:name w:val="3 Статья 1. Знак"/>
    <w:link w:val="31"/>
    <w:rsid w:val="00BA6FCF"/>
    <w:rPr>
      <w:rFonts w:ascii="Arial" w:eastAsia="Calibri" w:hAnsi="Arial" w:cs="Times New Roman"/>
      <w:b/>
      <w:color w:val="000000"/>
      <w:sz w:val="24"/>
      <w:szCs w:val="24"/>
      <w:shd w:val="clear" w:color="auto" w:fill="FFFFFF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2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66650-ED93-4FBD-808A-698794A7E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1480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Мұрынбаева Кәмшәт Доғдырбайқызы</cp:lastModifiedBy>
  <cp:revision>34</cp:revision>
  <dcterms:created xsi:type="dcterms:W3CDTF">2025-12-01T05:17:00Z</dcterms:created>
  <dcterms:modified xsi:type="dcterms:W3CDTF">2025-12-19T11:51:00Z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2025-12-01T00:00:00Z</vt:filetime>
  </property>
  <property fmtid="{D5CDD505-2E9C-101B-9397-08002B2CF9AE}" pid="3" name="Producer">
    <vt:lpwstr>Oracle XML Publisher 5.6.3</vt:lpwstr>
  </property>
  <property fmtid="{D5CDD505-2E9C-101B-9397-08002B2CF9AE}" pid="4" name="LastSaved">
    <vt:filetime>2025-12-01T00:00:00Z</vt:filetime>
  </property>
</Properties>
</file>